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5534770" w:name="document"/>
    <w:bookmarkEnd w:id="85534770"/>
    <w:p/>
    <w:p>
      <w:pPr>
        <w:widowControl w:val="on"/>
        <w:pBdr/>
        <w:spacing w:before="0" w:after="280" w:line="240" w:lineRule="auto"/>
        <w:ind w:left="0" w:right="0"/>
        <w:jc w:val="left"/>
      </w:pPr>
      <w:r>
        <w:rPr>
          <w:rFonts w:ascii="Arial" w:hAnsi="Arial" w:eastAsia="Arial" w:cs="Arial"/>
          <w:color w:val="363A40"/>
          <w:sz w:val="24"/>
          <w:szCs w:val="24"/>
        </w:rPr>
        <w:t xml:space="preserve">Dokument-ID: 878151 | FORUM Media (red) - Karin
Zahiragic | Muster | Schriftsatzmuster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Gerichtliche Aufkündigung wegen unleidlichen Verhaltens (§ 30
Abs 2 Z 3 MRG)</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w:t>
      </w:r>
      <w:r>
        <w:rPr>
          <w:rFonts w:ascii="Arial" w:hAnsi="Arial" w:eastAsia="Arial" w:cs="Arial"/>
          <w:color w:val="000000"/>
          <w:sz w:val="20"/>
          <w:szCs w:val="20"/>
        </w:rPr>
        <w:br/>
        <w:t xml:space="preserve">… [</w:t>
      </w:r>
      <w:r>
        <w:rPr>
          <w:rFonts w:ascii="Arial" w:hAnsi="Arial" w:eastAsia="Arial" w:cs="Arial"/>
          <w:color w:val="000000"/>
          <w:sz w:val="20"/>
          <w:szCs w:val="20"/>
        </w:rPr>
        <w:t xml:space="preserve">Adresse]</w:t>
      </w:r>
      <w:bookmarkStart w:id="13077395" w:name="link1"/>
      <w:bookmarkEnd w:id="13077395"/>
      <w:hyperlink w:anchor="note1" w:history="1">
        <w:r>
          <w:rPr>
            <w:rFonts w:ascii="Arial" w:hAnsi="Arial" w:eastAsia="Arial" w:cs="Arial"/>
            <w:color w:val="006BB6"/>
            <w:position w:val="4"/>
            <w:sz w:val="22"/>
            <w:szCs w:val="22"/>
            <w:vertAlign w:val="superscript"/>
          </w:rPr>
          <w:t xml:space="preserve">1</w:t>
        </w:r>
      </w:hyperlink>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Kündigende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[Vermieter]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Gekündigte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[Mieter]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[Angabe des </w:t>
            </w:r>
            <w:r>
              <w:rPr>
                <w:rFonts w:ascii="Arial" w:hAnsi="Arial" w:eastAsia="Arial" w:cs="Arial"/>
                <w:color w:val="000000"/>
                <w:position w:val="0"/>
                <w:sz w:val="20"/>
                <w:szCs w:val="20"/>
                <w:shd w:val="clear" w:color="auto" w:fill="FFFFFF"/>
              </w:rPr>
              <w:t xml:space="preserve">Streitwerts]</w:t>
            </w:r>
            <w:bookmarkStart w:id="55106616" w:name="link2"/>
            <w:bookmarkEnd w:id="55106616"/>
            <w:hyperlink w:anchor="note2" w:history="1">
              <w:r>
                <w:rPr>
                  <w:rFonts w:ascii="Arial" w:hAnsi="Arial" w:eastAsia="Arial" w:cs="Arial"/>
                  <w:color w:val="006BB6"/>
                  <w:position w:val="4"/>
                  <w:sz w:val="22"/>
                  <w:szCs w:val="22"/>
                  <w:shd w:val="clear" w:color="auto" w:fill="FFFFFF"/>
                  <w:vertAlign w:val="superscript"/>
                </w:rPr>
                <w:t xml:space="preserve">2</w:t>
              </w:r>
            </w:hyperlink>
          </w:p>
        </w:tc>
      </w:tr>
    </w:tbl>
    <w:p>
      <w:pPr>
        <w:widowControl w:val="on"/>
        <w:pBdr/>
        <w:spacing w:before="240" w:after="60" w:line="346" w:lineRule="auto"/>
        <w:ind w:left="0" w:right="0"/>
        <w:jc w:val="center"/>
        <w:outlineLvl w:val="1"/>
      </w:pPr>
      <w:r>
        <w:rPr>
          <w:rFonts w:ascii="Arial" w:hAnsi="Arial" w:eastAsia="Arial" w:cs="Arial"/>
          <w:color w:val="363A40"/>
          <w:sz w:val="28"/>
          <w:szCs w:val="28"/>
        </w:rPr>
        <w:t xml:space="preserve">Gerichtliche </w:t>
      </w:r>
      <w:r>
        <w:rPr>
          <w:rFonts w:ascii="Arial" w:hAnsi="Arial" w:eastAsia="Arial" w:cs="Arial"/>
          <w:color w:val="363A40"/>
          <w:sz w:val="28"/>
          <w:szCs w:val="28"/>
        </w:rPr>
        <w:t xml:space="preserve">Aufkündigung</w:t>
      </w:r>
      <w:bookmarkStart w:id="63718515" w:name="link3"/>
      <w:bookmarkEnd w:id="63718515"/>
      <w:hyperlink w:anchor="note3" w:history="1">
        <w:r>
          <w:rPr>
            <w:rFonts w:ascii="Arial" w:hAnsi="Arial" w:eastAsia="Arial" w:cs="Arial"/>
            <w:color w:val="006BB6"/>
            <w:position w:val="6"/>
            <w:sz w:val="31"/>
            <w:szCs w:val="31"/>
            <w:vertAlign w:val="superscript"/>
          </w:rPr>
          <w:t xml:space="preserve">3</w:t>
        </w:r>
      </w:hyperlink>
    </w:p>
    <w:p>
      <w:pPr>
        <w:widowControl w:val="on"/>
        <w:pBdr/>
        <w:spacing w:before="200" w:after="200" w:line="300" w:lineRule="auto"/>
        <w:ind w:left="0" w:right="0"/>
        <w:jc w:val="left"/>
        <w:outlineLvl w:val="2"/>
      </w:pPr>
      <w:r>
        <w:rPr>
          <w:rFonts w:ascii="Arial" w:hAnsi="Arial" w:eastAsia="Arial" w:cs="Arial"/>
          <w:color w:val="363A40"/>
          <w:sz w:val="22"/>
          <w:szCs w:val="22"/>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Zwischen der kündigenden Partei und der gekündigten Partei
besteht aufgrund des Vertrags … hinsichtlich des … [Bestandobjekt
samt </w:t>
      </w:r>
      <w:r>
        <w:rPr>
          <w:rFonts w:ascii="Arial" w:hAnsi="Arial" w:eastAsia="Arial" w:cs="Arial"/>
          <w:color w:val="000000"/>
          <w:sz w:val="20"/>
          <w:szCs w:val="20"/>
        </w:rPr>
        <w:t xml:space="preserve">Beschreibung]</w:t>
      </w:r>
      <w:bookmarkStart w:id="31450009" w:name="link4"/>
      <w:bookmarkEnd w:id="31450009"/>
      <w:hyperlink w:anchor="note4" w:history="1">
        <w:r>
          <w:rPr>
            <w:rFonts w:ascii="Arial" w:hAnsi="Arial" w:eastAsia="Arial" w:cs="Arial"/>
            <w:color w:val="006BB6"/>
            <w:position w:val="4"/>
            <w:sz w:val="22"/>
            <w:szCs w:val="22"/>
            <w:vertAlign w:val="superscript"/>
          </w:rPr>
          <w:t xml:space="preserve">4</w:t>
        </w:r>
      </w:hyperlink>
      <w:r>
        <w:rPr>
          <w:rFonts w:ascii="Arial" w:hAnsi="Arial" w:eastAsia="Arial" w:cs="Arial"/>
          <w:color w:val="000000"/>
          <w:sz w:val="20"/>
          <w:szCs w:val="20"/>
        </w:rPr>
        <w:t xml:space="preserve"> ein
Mietverhältnis.</w:t>
      </w:r>
    </w:p>
    <w:p>
      <w:pPr>
        <w:widowControl w:val="on"/>
        <w:pBdr/>
        <w:spacing w:before="140" w:after="240" w:line="288" w:lineRule="auto"/>
        <w:ind w:left="0" w:right="0"/>
        <w:jc w:val="left"/>
      </w:pPr>
      <w:r>
        <w:rPr>
          <w:rFonts w:ascii="Arial" w:hAnsi="Arial" w:eastAsia="Arial" w:cs="Arial"/>
          <w:color w:val="000000"/>
          <w:sz w:val="20"/>
          <w:szCs w:val="20"/>
        </w:rPr>
        <w:t xml:space="preserve">Das Mietverhältnis, welches am … [Datum] begonnen hat, ist
zwischen der gekündigten Partei und der kündigenden Partei
befristet auf drei Jahre abgeschlossen worden.</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Kündigungsgrund</w:t>
      </w:r>
    </w:p>
    <w:p>
      <w:pPr>
        <w:widowControl w:val="on"/>
        <w:pBdr/>
        <w:spacing w:before="140" w:after="240" w:line="288" w:lineRule="auto"/>
        <w:ind w:left="0" w:right="0"/>
        <w:jc w:val="left"/>
      </w:pPr>
      <w:r>
        <w:rPr>
          <w:rFonts w:ascii="Arial" w:hAnsi="Arial" w:eastAsia="Arial" w:cs="Arial"/>
          <w:color w:val="000000"/>
          <w:sz w:val="20"/>
          <w:szCs w:val="20"/>
        </w:rPr>
        <w:t xml:space="preserve">Die gekündigte Partei hat durch ihr rücksichtsloses, anstößiges
oder sonst grob ungehöriges Verhalten den Mitbewohnern des
Hauses das Zusammenwohnen </w:t>
      </w:r>
      <w:r>
        <w:rPr>
          <w:rFonts w:ascii="Arial" w:hAnsi="Arial" w:eastAsia="Arial" w:cs="Arial"/>
          <w:color w:val="000000"/>
          <w:sz w:val="20"/>
          <w:szCs w:val="20"/>
        </w:rPr>
        <w:t xml:space="preserve">verleidet.</w:t>
      </w:r>
      <w:bookmarkStart w:id="16671551" w:name="link5"/>
      <w:bookmarkEnd w:id="16671551"/>
      <w:hyperlink w:anchor="note5" w:history="1">
        <w:r>
          <w:rPr>
            <w:rFonts w:ascii="Arial" w:hAnsi="Arial" w:eastAsia="Arial" w:cs="Arial"/>
            <w:color w:val="006BB6"/>
            <w:position w:val="4"/>
            <w:sz w:val="22"/>
            <w:szCs w:val="22"/>
            <w:vertAlign w:val="superscript"/>
          </w:rPr>
          <w:t xml:space="preserve">5</w:t>
        </w:r>
      </w:hyperlink>
    </w:p>
    <w:p>
      <w:pPr>
        <w:numPr>
          <w:ilvl w:val="0"/>
          <w:numId w:val="7394065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Insbesondere hat es sich die gekündigte Partei zur Gewohnheit
gemacht, 3 bis 4 x pro Woche sämtliche Bewohner des Hauses durch
Sturmläuten und Trommeln mit den Fäusten an den Wohnungstüren
aufzuwecken, um sie dann mit der Frage zu überraschen, warum man
„noch auf sei“.</w:t>
      </w:r>
    </w:p>
    <w:p>
      <w:pPr>
        <w:numPr>
          <w:ilvl w:val="0"/>
          <w:numId w:val="7394065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gekündigte Partei hat in den Nachtstunden die Treppen des
Hauses mit glitschiger Schmierseife bestrichen und, diesbezüglich
zur Rede gestellt, erklärt, dann müsse man sich eben anhalten, wenn
es glatt sei. Tatsächlich ist die gekündigte Partei mit beinahe
sämtlichen Hausbewohnern verfeindet und wurde auch schon wegen
diverser Angriffe strafgerichtlich verurteilt.</w:t>
      </w:r>
    </w:p>
    <w:p>
      <w:pPr>
        <w:numPr>
          <w:ilvl w:val="0"/>
          <w:numId w:val="7394065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gekündigte Partei geht in der aufgekündigten Wohnung der
Prostitution nach und lässt ihre Freier auf dem Gang des
Stiegenhauses warten, wobei diese Personen gegenüber den
Hausbewohnern und deren Kindern keinen Zweifel am Zweck des
Besuches bei der gekündigten Partei offenlassen.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color w:val="000000"/>
                <w:position w:val="0"/>
                <w:sz w:val="20"/>
                <w:szCs w:val="20"/>
                <w:shd w:val="clear" w:color="auto" w:fill="FFFFFF"/>
              </w:rPr>
              <w:t xml:space="preserve">Zeugen</w:t>
            </w:r>
            <w:r>
              <w:rPr>
                <w:rFonts w:ascii="Arial" w:hAnsi="Arial" w:eastAsia="Arial" w:cs="Arial"/>
                <w:color w:val="000000"/>
                <w:position w:val="0"/>
                <w:sz w:val="20"/>
                <w:szCs w:val="20"/>
                <w:shd w:val="clear" w:color="auto" w:fill="FFFFFF"/>
              </w:rPr>
              <w:br/>
              <w:t xml:space="preserve">Mietvertrag</w:t>
            </w:r>
            <w:r>
              <w:rPr>
                <w:rFonts w:ascii="Arial" w:hAnsi="Arial" w:eastAsia="Arial" w:cs="Arial"/>
                <w:color w:val="000000"/>
                <w:position w:val="0"/>
                <w:sz w:val="20"/>
                <w:szCs w:val="20"/>
                <w:shd w:val="clear" w:color="auto" w:fill="FFFFFF"/>
              </w:rPr>
              <w:br/>
              <w:t xml:space="preserve">Korrespondenzschreiben</w:t>
            </w:r>
            <w:r>
              <w:rPr>
                <w:rFonts w:ascii="Arial" w:hAnsi="Arial" w:eastAsia="Arial" w:cs="Arial"/>
                <w:color w:val="000000"/>
                <w:position w:val="0"/>
                <w:sz w:val="20"/>
                <w:szCs w:val="20"/>
                <w:shd w:val="clear" w:color="auto" w:fill="FFFFFF"/>
              </w:rPr>
              <w:br/>
              <w:t xml:space="preserve">Lichtbilder</w:t>
            </w:r>
            <w:r>
              <w:rPr>
                <w:rFonts w:ascii="Arial" w:hAnsi="Arial" w:eastAsia="Arial" w:cs="Arial"/>
                <w:color w:val="000000"/>
                <w:position w:val="0"/>
                <w:sz w:val="20"/>
                <w:szCs w:val="20"/>
                <w:shd w:val="clear" w:color="auto" w:fill="FFFFFF"/>
              </w:rPr>
              <w:br/>
              <w:t xml:space="preserve">Parteieinvernahme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kündigende Partei kündigt der gekündigten Partei sohin das
Mietverhältnis zum … [Datum] auf und macht als Kündigungsgrund
§ 30 Abs 2 Z 3 zweiter Fall </w:t>
      </w:r>
      <w:r>
        <w:rPr>
          <w:rFonts w:ascii="Arial" w:hAnsi="Arial" w:eastAsia="Arial" w:cs="Arial"/>
          <w:color w:val="000000"/>
          <w:sz w:val="20"/>
          <w:szCs w:val="20"/>
        </w:rPr>
        <w:t xml:space="preserve">MRG</w:t>
      </w:r>
      <w:bookmarkStart w:id="12883964" w:name="link6"/>
      <w:bookmarkEnd w:id="12883964"/>
      <w:hyperlink w:anchor="note6" w:history="1">
        <w:r>
          <w:rPr>
            <w:rFonts w:ascii="Arial" w:hAnsi="Arial" w:eastAsia="Arial" w:cs="Arial"/>
            <w:color w:val="006BB6"/>
            <w:position w:val="4"/>
            <w:sz w:val="22"/>
            <w:szCs w:val="22"/>
            <w:vertAlign w:val="superscript"/>
          </w:rPr>
          <w:t xml:space="preserve">6</w:t>
        </w:r>
      </w:hyperlink>
      <w:r>
        <w:rPr>
          <w:rFonts w:ascii="Arial" w:hAnsi="Arial" w:eastAsia="Arial" w:cs="Arial"/>
          <w:color w:val="000000"/>
          <w:sz w:val="20"/>
          <w:szCs w:val="20"/>
        </w:rPr>
        <w:t xml:space="preserve"> geltend.</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Beschluss des Gerichtes</w:t>
      </w:r>
    </w:p>
    <w:p>
      <w:pPr>
        <w:widowControl w:val="on"/>
        <w:pBdr/>
        <w:spacing w:before="140" w:after="240" w:line="288" w:lineRule="auto"/>
        <w:ind w:left="0" w:right="0"/>
        <w:jc w:val="left"/>
      </w:pPr>
      <w:r>
        <w:rPr>
          <w:rFonts w:ascii="Arial" w:hAnsi="Arial" w:eastAsia="Arial" w:cs="Arial"/>
          <w:color w:val="000000"/>
          <w:sz w:val="20"/>
          <w:szCs w:val="20"/>
        </w:rPr>
        <w:t xml:space="preserve">Der gekündigten Partei wird aufgetragen, den Mietgegenstand samt
mitgemieteten Haus- oder Grundflächen binnen 14 Tagen bei sonstiger
Exekution bis zum … [Datum des Kündigungstermins] geräumt von
eigenen Fahrnissen an die kündigende Partei zu übergeben oder gegen
die Aufkündigung binnen vier Wochen nach Zustellung dieses
Beschlusses bei diesem Gericht Einwendungen anzubringen.</w:t>
      </w:r>
    </w:p>
    <w:p>
      <w:pPr>
        <w:widowControl w:val="on"/>
        <w:pBdr/>
        <w:spacing w:before="140" w:after="240" w:line="288" w:lineRule="auto"/>
        <w:ind w:left="0" w:right="0"/>
        <w:jc w:val="left"/>
      </w:pPr>
      <w:r>
        <w:rPr>
          <w:rFonts w:ascii="Arial" w:hAnsi="Arial" w:eastAsia="Arial" w:cs="Arial"/>
          <w:color w:val="000000"/>
          <w:sz w:val="20"/>
          <w:szCs w:val="20"/>
        </w:rPr>
        <w:t xml:space="preserve">Diese Einwendungen sind binnen vier Wochen nach Zustellung
dieses Beschlusses mündlich oder schriftlich bei diesem Gericht
einzubringen.</w:t>
      </w:r>
    </w:p>
    <w:p>
      <w:pPr>
        <w:widowControl w:val="on"/>
        <w:pBdr/>
        <w:spacing w:before="140" w:after="240" w:line="288" w:lineRule="auto"/>
        <w:ind w:left="0" w:right="0"/>
        <w:jc w:val="left"/>
      </w:pPr>
      <w:r>
        <w:rPr>
          <w:rFonts w:ascii="Arial" w:hAnsi="Arial" w:eastAsia="Arial" w:cs="Arial"/>
          <w:color w:val="000000"/>
          <w:sz w:val="20"/>
          <w:szCs w:val="20"/>
        </w:rPr>
        <w:t xml:space="preserve">Nach Ablauf dieser Frist eingebrachte Einwendungen werden von
Amts wegen zurückgewiesen werden.</w:t>
      </w:r>
    </w:p>
    <w:p>
      <w:pPr>
        <w:widowControl w:val="on"/>
        <w:pBdr/>
        <w:spacing w:before="140" w:after="240" w:line="288" w:lineRule="auto"/>
        <w:ind w:left="0" w:right="0"/>
        <w:jc w:val="both"/>
      </w:pPr>
      <w:r>
        <w:rPr>
          <w:rFonts w:ascii="Arial" w:hAnsi="Arial" w:eastAsia="Arial" w:cs="Arial"/>
          <w:color w:val="000000"/>
          <w:sz w:val="20"/>
          <w:szCs w:val="20"/>
        </w:rPr>
        <w:t xml:space="preserve">Dieser Beschluss ist auch gegen die
aufkündigende Partei vollstreckbar.</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[Die kündigende Partei]</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108622" w:name="note1"/>
            <w:bookmarkEnd w:id="10108622"/>
            <w:bookmarkStart w:id="3550221126397" w:name="note1"/>
            <w:r>
              <w:rPr>
                <w:rFonts w:ascii="Arial" w:hAnsi="Arial" w:eastAsia="Arial" w:cs="Arial"/>
                <w:color w:val="000000"/>
                <w:position w:val="0"/>
                <w:sz w:val="20"/>
                <w:szCs w:val="20"/>
              </w:rPr>
              <w:t xml:space="preserve">[1]</w:t>
            </w:r>
            <w:bookmarkEnd w:id="355022112639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sachliche Zuständigkeit richtet sich nach § 49
Abs 2 Z 5 JN (Eigenzuständigkeit). Die örtliche
Zuständigkeit richtet sich nach § 83 Abs 1 JN. Es ist
jenes Bezirksgericht zuständig, in dessen Sprengel das Mietobjekt
liegt.</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33443" w:name="note2"/>
            <w:bookmarkEnd w:id="8233443"/>
            <w:bookmarkStart w:id="2238925709487" w:name="note2"/>
            <w:r>
              <w:rPr>
                <w:rFonts w:ascii="Arial" w:hAnsi="Arial" w:eastAsia="Arial" w:cs="Arial"/>
                <w:color w:val="000000"/>
                <w:position w:val="0"/>
                <w:sz w:val="20"/>
                <w:szCs w:val="20"/>
              </w:rPr>
              <w:t xml:space="preserve">[2]</w:t>
            </w:r>
            <w:bookmarkEnd w:id="223892570948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Streitwert:</w:t>
            </w:r>
            <w:r>
              <w:rPr>
                <w:rFonts w:ascii="Arial" w:hAnsi="Arial" w:eastAsia="Arial" w:cs="Arial"/>
                <w:color w:val="000000"/>
                <w:position w:val="0"/>
                <w:sz w:val="20"/>
                <w:szCs w:val="20"/>
              </w:rPr>
              <w:br/>
              <w:t xml:space="preserve">Die Bemessungsgrundlage gem GGG, die für die Gerichtspauschalgebühr
maßgeblich ist, beträgt im Bestandverfahren derzeit EUR 750,–
(§ 16 Abs 1 Z 1 GGG). Auch gem RATG (§ 10
Z 2 lit a–c) sind zwingende Bemessungsgrundlagen
vorgesehen: Bei Geschäftsräumen sowie bei Wohnungen über 90 m²
Nutzfläche ist der Jahresmietzins heranzuziehen, mindestens jedoch
EUR 2.000,–. Bei Wohnungen von 60 m² bis 90 m² Nutzfläche
beträgt die Bemessungsgrundlage EUR 1.500,– und bei kleineren
Wohnungen EUR 1.000,–. Für die Bemessungsgrundlage gem JN ist
§ 56 Abs 2 JN maßgebend.</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808022" w:name="note3"/>
            <w:bookmarkEnd w:id="18808022"/>
            <w:bookmarkStart w:id="8288093842105" w:name="note3"/>
            <w:r>
              <w:rPr>
                <w:rFonts w:ascii="Arial" w:hAnsi="Arial" w:eastAsia="Arial" w:cs="Arial"/>
                <w:color w:val="000000"/>
                <w:position w:val="0"/>
                <w:sz w:val="20"/>
                <w:szCs w:val="20"/>
              </w:rPr>
              <w:t xml:space="preserve">[3]</w:t>
            </w:r>
            <w:bookmarkEnd w:id="828809384210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33 Abs 1 MRG können Mietverträge vom Vermieter
nur gerichtlich gekündigt werden. Geht dem Vermieter eine
schriftliche Kündigung des Mieters erst nach Beginn der für den
darin genannten Kündigungstermin einzuhaltenden Kündigungsfrist zu,
so ist sie für den ersten späteren Kündigungstermin wirksam, für
den die Frist zu diesem Zeitpunkt noch offen war. Für die
gerichtliche Kündigung des Vermieters gilt § 563 ZPO. Der
Vermieter hat in der Kündigung die Kündigungsgründe kurz
anzuführen. Andere Kündigungsgründe kann er in diesem Verfahren
nicht mehr geltend machen. Werden gegen die Kündigung Einwendungen
erhoben, so hat der Vermieter nachzuweisen, dass der von ihm
geltend gemachte Kündigungsgrund gegeben ist. Gegen die Versäumung
der Frist zur Anbringung von Einwendungen ist die Wiedereinsetzung
in den vorigen Stand nach den Bestimmungen der §§ 146 ff ZPO
zulässig.</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0860967" w:name="note4"/>
            <w:bookmarkEnd w:id="40860967"/>
            <w:bookmarkStart w:id="8354422009271" w:name="note4"/>
            <w:r>
              <w:rPr>
                <w:rFonts w:ascii="Arial" w:hAnsi="Arial" w:eastAsia="Arial" w:cs="Arial"/>
                <w:color w:val="000000"/>
                <w:position w:val="0"/>
                <w:sz w:val="20"/>
                <w:szCs w:val="20"/>
              </w:rPr>
              <w:t xml:space="preserve">[4]</w:t>
            </w:r>
            <w:bookmarkEnd w:id="835442200927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Mietobjekt samt Beschreibung, zB: der im Haus in … [Ort], …
[Adresse] gelegenen Wohnung Top Nr …, bestehend aus …
[Räumlichkeiten: Küche, WC etc] im Gesamtausmaß von … [Anzahl].</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3995887" w:name="note5"/>
            <w:bookmarkEnd w:id="53995887"/>
            <w:bookmarkStart w:id="7785900262085" w:name="note5"/>
            <w:r>
              <w:rPr>
                <w:rFonts w:ascii="Arial" w:hAnsi="Arial" w:eastAsia="Arial" w:cs="Arial"/>
                <w:color w:val="000000"/>
                <w:position w:val="0"/>
                <w:sz w:val="20"/>
                <w:szCs w:val="20"/>
              </w:rPr>
              <w:t xml:space="preserve">[5]</w:t>
            </w:r>
            <w:bookmarkEnd w:id="778590026208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Kündigung wegen unleidlichen Verhaltens nach § 30
Abs 2 Z 3 MRG setzt eine Störung des friedlichen
Zusammenlebens voraus, die in der Regel durch längere Zeit
fortgesetzt wird oder sich in häufigen Wiederholungen äußert und
überdies nach ihrer Art das bei den besonderen Verhältnissen des
einzelnen Falls erfahrungsgemäß geduldete Ausmaß übersteigt
(RIS-Judikatur RS0070303, RS0067678). Grundsätzlich ist auf das
Gesamtverhalten des Gekündigten Bedacht zu nehmen (RIS-Judikatur
RS0067519). Der Kündigungsgrund setzt regelmäßig kein Verschulden
des Mieters voraus (RIS-Judikatur RS0070243). Vielmehr kommt es
darauf an, ob das objektiv in Erscheinung tretende Verhalten als
grob ungehörig und das Zusammenwohnen verleidend angesehen werden
muss, und zwar auch dann, wenn dieses Verhalten auf eine geistige
Erkrankung zurückzuführen ist (RIS-Judikatur RS0067733). Auch ein
einzelner Vorfall kann den Tatbestand des unleidlichen Verhaltens
erfüllen, sofern er derart schwerwiegend ist, dass er das Maß des
Zumutbaren überschreitet und objektiv geeignet erscheint, auch nur
einem Mitbewohner das Zusammenleben zu verleiden (MietSlg 54.6).
Die Begriffe „Mitbewohner“ und „Zusammenwohnen“ sind im weiteren
Sinne zu verstehen. Es ist nicht notwendig, dass es sich um im
gleichen Haus wohnhafte Personen handelt, darunter sind auch der
Vermieter und der Hausverwalter zu verstehen
(MietSlg. 44.443). Der Kündigungsgrund wegen unleidlichen
Verhaltens liegt dann vor, wenn der Mieter durch sein
rücksichtsloses, anstößiges oder sonst grob ungehöriges Verhalten
den Mitbewohnern das Zusammenleben verleidet. Bei Beurteilung
dieses Kündigungsgrundes kommt es auf das Gesamtverhalten des
Mieters an. Selbst an sich geringfügige Störungen können im
Zusammenhalt mit anderen derartigen oder ähnlichen Vorfällen zur
Beurteilung des Gesamtverhaltens des Mieters als unleidliches
Verhalten beitragen. Der Vermieter ist demnach zur Aufkündigung
auch dann berechtigt, wenn zwar nicht jeder Vorfall für sich
betrachtet für eine Kündigung ausreicht, jedoch durch die Häufung
das dem Vermieter zumutbare Ausmaß überschritten wird. Der
Kündigungsgrund wird vielmehr durch jedes Verhalten des Mieters,
durch das das friedliche Zusammenleben beeinträchtigt wird,
verwirklicht (MietSlg 37.406).</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Beispiele:</w:t>
            </w:r>
          </w:p>
          <w:p>
            <w:pPr>
              <w:numPr>
                <w:ilvl w:val="0"/>
                <w:numId w:val="89938460"/>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Grundsätzlich ist daher auch eine psychische Beeinträchtigung
kein Freibrief für ein unleidliches Verhalten. Das Verhalten einer
geisteskranken Person ist zwar nicht unter allen Umständen ebenso
unleidlich, also für die Mitbewohner unerträglich, wie ein
gleichartiges Verhalten einer zurechnungsfähigen Person. Dies ist
jedoch nicht dahin zu verstehen, dass die Mitbewohner jedes
Verhalten einer geistig behinderten Person in Kauf zu nehmen
hätten, auch wenn dadurch ihre Lebensqualität in gravierender Weise
beeinträchtigt wird. In solchen Fällen ist eine Interessenabwägung
geboten, bei der an das Verhalten der behinderten Person ein
weniger strenger Maßstab anzulegen ist (RIS-Judikatur
RS0067733).</w:t>
            </w:r>
          </w:p>
          <w:p>
            <w:pPr>
              <w:numPr>
                <w:ilvl w:val="0"/>
                <w:numId w:val="89938460"/>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Nach gefestigter Rechtsprechung des Obersten Gerichtshofs (OGH)
ist ein unleidliches Verhalten unter anderem in laufenden Versuchen
des Mieters zu erblicken, sein Benützungsrecht auf nicht in Bestand
genommene Räume oder Gegenstände auszudehnen (RIS-Judikatur
RS0070417). Wiederholtes Aufstellen von Kunstobjekten vor dem Haus
ohne die Zustimmung des Vermieters (OGH v. 27.11.2014, 2 Ob
212/14m). Regelmäßige Benützung nicht mitgemieteter
Parkplatzflächen (OGH 23.02.2016, 6 Ob 250/15f).</w:t>
            </w:r>
          </w:p>
          <w:p>
            <w:pPr>
              <w:numPr>
                <w:ilvl w:val="0"/>
                <w:numId w:val="89938460"/>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Die Gefährdung von Personen durch Abschalten des Lichts im
Keller, die subtile Androhung körperlicher Gewalt und das
ungehörige und bedrohliche Verhalten gegenüber der Mieterin und
deren Tochter wurde als ein das Zusammenwohnen verleidendes zur
Aufkündigung berechtigendes Verhalten angesehen (OGH. 03.04.2019, 1
Ob 39/19w).</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4812064" w:name="note6"/>
            <w:bookmarkEnd w:id="94812064"/>
            <w:bookmarkStart w:id="5574331946504" w:name="note6"/>
            <w:r>
              <w:rPr>
                <w:rFonts w:ascii="Arial" w:hAnsi="Arial" w:eastAsia="Arial" w:cs="Arial"/>
                <w:color w:val="000000"/>
                <w:position w:val="0"/>
                <w:sz w:val="20"/>
                <w:szCs w:val="20"/>
              </w:rPr>
              <w:t xml:space="preserve">[6]</w:t>
            </w:r>
            <w:bookmarkEnd w:id="557433194650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Als Kündigungsgrund nach § 30 Abs 2 Z 3 zweiter
Fall ist anzusehen, wenn der Mieter durch sein
rücksichtsloses, anstößiges oder sonst grob ungehöriges Verhalten
den Mitbewohnern das Zusammenleben verleidet.</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93846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940659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26638683">
    <w:multiLevelType w:val="hybridMultilevel"/>
    <w:lvl w:ilvl="0" w:tplc="81807523">
      <w:start w:val="1"/>
      <w:numFmt w:val="decimal"/>
      <w:lvlText w:val="%1."/>
      <w:lvlJc w:val="left"/>
      <w:pPr>
        <w:ind w:left="720" w:hanging="360"/>
      </w:pPr>
    </w:lvl>
    <w:lvl w:ilvl="1" w:tplc="81807523" w:tentative="1">
      <w:start w:val="1"/>
      <w:numFmt w:val="lowerLetter"/>
      <w:lvlText w:val="%2."/>
      <w:lvlJc w:val="left"/>
      <w:pPr>
        <w:ind w:left="1440" w:hanging="360"/>
      </w:pPr>
    </w:lvl>
    <w:lvl w:ilvl="2" w:tplc="81807523" w:tentative="1">
      <w:start w:val="1"/>
      <w:numFmt w:val="lowerRoman"/>
      <w:lvlText w:val="%3."/>
      <w:lvlJc w:val="right"/>
      <w:pPr>
        <w:ind w:left="2160" w:hanging="180"/>
      </w:pPr>
    </w:lvl>
    <w:lvl w:ilvl="3" w:tplc="81807523" w:tentative="1">
      <w:start w:val="1"/>
      <w:numFmt w:val="decimal"/>
      <w:lvlText w:val="%4."/>
      <w:lvlJc w:val="left"/>
      <w:pPr>
        <w:ind w:left="2880" w:hanging="360"/>
      </w:pPr>
    </w:lvl>
    <w:lvl w:ilvl="4" w:tplc="81807523" w:tentative="1">
      <w:start w:val="1"/>
      <w:numFmt w:val="lowerLetter"/>
      <w:lvlText w:val="%5."/>
      <w:lvlJc w:val="left"/>
      <w:pPr>
        <w:ind w:left="3600" w:hanging="360"/>
      </w:pPr>
    </w:lvl>
    <w:lvl w:ilvl="5" w:tplc="81807523" w:tentative="1">
      <w:start w:val="1"/>
      <w:numFmt w:val="lowerRoman"/>
      <w:lvlText w:val="%6."/>
      <w:lvlJc w:val="right"/>
      <w:pPr>
        <w:ind w:left="4320" w:hanging="180"/>
      </w:pPr>
    </w:lvl>
    <w:lvl w:ilvl="6" w:tplc="81807523" w:tentative="1">
      <w:start w:val="1"/>
      <w:numFmt w:val="decimal"/>
      <w:lvlText w:val="%7."/>
      <w:lvlJc w:val="left"/>
      <w:pPr>
        <w:ind w:left="5040" w:hanging="360"/>
      </w:pPr>
    </w:lvl>
    <w:lvl w:ilvl="7" w:tplc="81807523" w:tentative="1">
      <w:start w:val="1"/>
      <w:numFmt w:val="lowerLetter"/>
      <w:lvlText w:val="%8."/>
      <w:lvlJc w:val="left"/>
      <w:pPr>
        <w:ind w:left="5760" w:hanging="360"/>
      </w:pPr>
    </w:lvl>
    <w:lvl w:ilvl="8" w:tplc="81807523" w:tentative="1">
      <w:start w:val="1"/>
      <w:numFmt w:val="lowerRoman"/>
      <w:lvlText w:val="%9."/>
      <w:lvlJc w:val="right"/>
      <w:pPr>
        <w:ind w:left="6480" w:hanging="180"/>
      </w:pPr>
    </w:lvl>
  </w:abstractNum>
  <w:abstractNum w:abstractNumId="84964125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5357857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26638682">
    <w:multiLevelType w:val="hybridMultilevel"/>
    <w:lvl w:ilvl="0" w:tplc="87401319">
      <w:start w:val="1"/>
      <w:numFmt w:val="decimal"/>
      <w:lvlText w:val="%1."/>
      <w:lvlJc w:val="left"/>
      <w:pPr>
        <w:ind w:left="720" w:hanging="360"/>
      </w:pPr>
    </w:lvl>
    <w:lvl w:ilvl="1" w:tplc="87401319" w:tentative="1">
      <w:start w:val="1"/>
      <w:numFmt w:val="lowerLetter"/>
      <w:lvlText w:val="%2."/>
      <w:lvlJc w:val="left"/>
      <w:pPr>
        <w:ind w:left="1440" w:hanging="360"/>
      </w:pPr>
    </w:lvl>
    <w:lvl w:ilvl="2" w:tplc="87401319" w:tentative="1">
      <w:start w:val="1"/>
      <w:numFmt w:val="lowerRoman"/>
      <w:lvlText w:val="%3."/>
      <w:lvlJc w:val="right"/>
      <w:pPr>
        <w:ind w:left="2160" w:hanging="180"/>
      </w:pPr>
    </w:lvl>
    <w:lvl w:ilvl="3" w:tplc="87401319" w:tentative="1">
      <w:start w:val="1"/>
      <w:numFmt w:val="decimal"/>
      <w:lvlText w:val="%4."/>
      <w:lvlJc w:val="left"/>
      <w:pPr>
        <w:ind w:left="2880" w:hanging="360"/>
      </w:pPr>
    </w:lvl>
    <w:lvl w:ilvl="4" w:tplc="87401319" w:tentative="1">
      <w:start w:val="1"/>
      <w:numFmt w:val="lowerLetter"/>
      <w:lvlText w:val="%5."/>
      <w:lvlJc w:val="left"/>
      <w:pPr>
        <w:ind w:left="3600" w:hanging="360"/>
      </w:pPr>
    </w:lvl>
    <w:lvl w:ilvl="5" w:tplc="87401319" w:tentative="1">
      <w:start w:val="1"/>
      <w:numFmt w:val="lowerRoman"/>
      <w:lvlText w:val="%6."/>
      <w:lvlJc w:val="right"/>
      <w:pPr>
        <w:ind w:left="4320" w:hanging="180"/>
      </w:pPr>
    </w:lvl>
    <w:lvl w:ilvl="6" w:tplc="87401319" w:tentative="1">
      <w:start w:val="1"/>
      <w:numFmt w:val="decimal"/>
      <w:lvlText w:val="%7."/>
      <w:lvlJc w:val="left"/>
      <w:pPr>
        <w:ind w:left="5040" w:hanging="360"/>
      </w:pPr>
    </w:lvl>
    <w:lvl w:ilvl="7" w:tplc="87401319" w:tentative="1">
      <w:start w:val="1"/>
      <w:numFmt w:val="lowerLetter"/>
      <w:lvlText w:val="%8."/>
      <w:lvlJc w:val="left"/>
      <w:pPr>
        <w:ind w:left="5760" w:hanging="360"/>
      </w:pPr>
    </w:lvl>
    <w:lvl w:ilvl="8" w:tplc="87401319" w:tentative="1">
      <w:start w:val="1"/>
      <w:numFmt w:val="lowerRoman"/>
      <w:lvlText w:val="%9."/>
      <w:lvlJc w:val="right"/>
      <w:pPr>
        <w:ind w:left="6480" w:hanging="180"/>
      </w:pPr>
    </w:lvl>
  </w:abstractNum>
  <w:abstractNum w:abstractNumId="26638681">
    <w:multiLevelType w:val="hybridMultilevel"/>
    <w:lvl w:ilvl="0" w:tplc="554933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638681">
    <w:abstractNumId w:val="26638681"/>
  </w:num>
  <w:num w:numId="26638682">
    <w:abstractNumId w:val="26638682"/>
  </w:num>
  <w:num w:numId="853578575">
    <w:abstractNumId w:val="853578575"/>
  </w:num>
  <w:num w:numId="849641253">
    <w:abstractNumId w:val="849641253"/>
  </w:num>
  <w:num w:numId="26638683">
    <w:abstractNumId w:val="26638683"/>
  </w:num>
  <w:num w:numId="739406592">
    <w:abstractNumId w:val="739406592"/>
  </w:num>
  <w:num w:numId="89938460">
    <w:abstractNumId w:val="899384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76593778" Type="http://schemas.openxmlformats.org/officeDocument/2006/relationships/numbering" Target="numbering.xml"/><Relationship Id="rId66617028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