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902089" w:name="document"/>
    <w:bookmarkEnd w:id="6902089"/>
    <w:p/>
    <w:p>
      <w:pPr>
        <w:widowControl w:val="on"/>
        <w:pBdr/>
        <w:spacing w:before="0" w:after="280" w:line="240" w:lineRule="auto"/>
        <w:ind w:left="0" w:right="0"/>
        <w:jc w:val="left"/>
      </w:pPr>
      <w:r>
        <w:rPr>
          <w:rFonts w:ascii="Arial" w:hAnsi="Arial" w:eastAsia="Arial" w:cs="Arial"/>
          <w:color w:val="363A40"/>
          <w:sz w:val="24"/>
          <w:szCs w:val="24"/>
        </w:rPr>
        <w:t xml:space="preserve">Dokument-ID: 877067 | FORUM Media (red) -
Albert Scherzer - Karin Zahiragic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Durchführung von Erhaltungsarbeiten nach § 3
MRG</w:t>
      </w:r>
    </w:p>
    <w:p>
      <w:pPr>
        <w:widowControl w:val="on"/>
        <w:pBdr/>
        <w:spacing w:before="140" w:after="240" w:line="288" w:lineRule="auto"/>
        <w:ind w:left="0" w:right="0"/>
        <w:jc w:val="left"/>
      </w:pPr>
      <w:r>
        <w:rPr>
          <w:rFonts w:ascii="Arial" w:hAnsi="Arial" w:eastAsia="Arial" w:cs="Arial"/>
          <w:color w:val="000000"/>
          <w:sz w:val="20"/>
          <w:szCs w:val="20"/>
        </w:rPr>
        <w:t xml:space="preserve">An</w:t>
      </w:r>
      <w:r>
        <w:rPr>
          <w:rFonts w:ascii="Arial" w:hAnsi="Arial" w:eastAsia="Arial" w:cs="Arial"/>
          <w:color w:val="000000"/>
          <w:sz w:val="20"/>
          <w:szCs w:val="20"/>
        </w:rPr>
        <w:br/>
        <w:t xml:space="preserve">die Schlichtungsstelle</w:t>
      </w:r>
      <w:r>
        <w:rPr>
          <w:rFonts w:ascii="Arial" w:hAnsi="Arial" w:eastAsia="Arial" w:cs="Arial"/>
          <w:color w:val="000000"/>
          <w:sz w:val="20"/>
          <w:szCs w:val="20"/>
        </w:rPr>
        <w:br/>
        <w:t xml:space="preserve">Muthgasse 62</w:t>
      </w:r>
      <w:r>
        <w:rPr>
          <w:rFonts w:ascii="Arial" w:hAnsi="Arial" w:eastAsia="Arial" w:cs="Arial"/>
          <w:color w:val="000000"/>
          <w:sz w:val="20"/>
          <w:szCs w:val="20"/>
        </w:rPr>
        <w:br/>
        <w:t xml:space="preserve">1190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[alle Liegenschaftseigentümer]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37 Abs 2 Z 2 MRG (§ 3 MRG)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 Antrag auf Durchführung von
Erhaltungsarbeiten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Antragsteller ist Hauptmieter der Wohnung (des
Geschäftslokales) in …</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Hauptmietvertrag vom …</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Antragsgegner ist Eigentümer der Liegenschaft mit der
Grundstücksadresse …</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Offenes Grundbuch</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Hoffenster im Abstellraum der vom Antragsteller gemieteten
Wohnung (des vom Antragsteller gemieteten Geschäftsraumes) besteht
aus Holz. Dieses Holz ist im Bereich des Außenfensters derart
vermorscht, dass sich das Außenfenster im Abstellraum des Objektes
des Antragstellers nicht mehr schließen lässt. Der Antragsgegner
weigert sich trotz einer Aufforderung des Antragstellers, das zu
den allgemeinen Teilen des Hauses gehörige Außenfenster des
Abstellraums im Objekt des Antragstellers so reparieren bzw
erneuern zu lassen, dass die Funktionsfähigkeit hergestellt
ist.</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Der Antragsgegner ist verpflichtet, binnen angemessener Frist
das hofseitige Holzaußenfenster des Abstellraumes in der Wohnung
(im Geschäftslokal) des Antragstellers Top Nr … in … erneuern
zu lassen.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sich herausstellen sollte, dass die Reparatur
des Außenfensters (statt einer gänzlichen Erneuerung) technisch
möglich ist, wird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Eventualantrag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Der Antragsgegner ist schuldig, das hofseitige Holzaußenfenster
im Abstellraum der Wohnung (des Geschäftslokales) des
Antragstellers Top Nr …, in …, binnen angemessener Frist durch
ordnungsgemäße Reparatur funktionsfähig zu machen.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Antragsteller]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3225113" w:name="note1"/>
            <w:bookmarkEnd w:id="63225113"/>
            <w:bookmarkStart w:id="2484270608514" w:name="note1"/>
            <w:r>
              <w:rPr>
                <w:rFonts w:ascii="Arial" w:hAnsi="Arial" w:eastAsia="Arial" w:cs="Arial"/>
                <w:b/>
                <w:bCs/>
                <w:color w:val="000000"/>
                <w:position w:val="0"/>
                <w:sz w:val="20"/>
                <w:szCs w:val="20"/>
              </w:rPr>
              <w:t xml:space="preserve">[1]</w:t>
            </w:r>
            <w:bookmarkEnd w:id="248427060851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vom Vermieter dem Mieter im Rahmen der §§ 3 Abs 1
und Abs 2 MRG zu ersetzende Aufwand für Vor- und Nacharbeiten
umfasst auch das nach Art und Umfang der aufgetragenen
Erhaltungsarbeiten notwendige Entfernen der Fahrnisse aus dem
Objekt und deren nachfolgende Wiedereinbringung (RIS-Justiz
RS0126512).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Vermieter kann die Durchführung von Erhaltungsarbeiten
aufgetragen werden, wenn er die Vornahme dieser Arbeiten
unterlassen hat. Das Gericht bzw die Gemeinde muss dem Vermieter
dann die Durchführung der Arbeiten innerhalb angemessener, ein Jahr
nicht übersteigender Frist auftragen. Erhaltungsarbeiten zur
Beseitigung einer erheblichen Gesundheitsgefährdung kann dem
Vermieter nur dann aufgetragen werden, wenn sich die
Gesundheitsgefährdung nicht durch andere, den Bewohnern des Hauses
zumutbare Maßnahmen abwenden lässt. Bei vorweg durchzuführenden
Arbeiten muss dem Antrag unabhängig von finanziellen Auswirkungen
stattgegeben werden. Der rechtskräftige Auftrag zur Durchführung
von Erhaltungsarbeiten ist ein Exekutionstitel. Kommt der Vermieter
dem rechtskräftigen Auftrag der Entscheidung gem § 6
Abs 1 MRG nicht fristgerecht nach, so haben alle Mieter des
Hauses das Recht, für die Durchführung der Arbeiten die Bestellung
von Zwangsverwaltern gem § 6 Abs 2 MRG zu
begehren.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913573" w:name="note2"/>
            <w:bookmarkEnd w:id="13913573"/>
            <w:bookmarkStart w:id="3041773884619" w:name="note2"/>
            <w:r>
              <w:rPr>
                <w:rFonts w:ascii="Arial" w:hAnsi="Arial" w:eastAsia="Arial" w:cs="Arial"/>
                <w:b/>
                <w:bCs/>
                <w:color w:val="000000"/>
                <w:position w:val="0"/>
                <w:sz w:val="20"/>
                <w:szCs w:val="20"/>
              </w:rPr>
              <w:t xml:space="preserve">[2]</w:t>
            </w:r>
            <w:bookmarkEnd w:id="30417738846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Antrag muss erkennbar sein, welche Erhaltungsarbeiten
erforderlich sind, um Mängel bzw Schäden zu beseitigen. Liegt eine
Gesundheitsgefährdung vor, so muss diese glaubhaft dargelegt
werden. Als Beilage für den Antrag dient der Mietvertrag.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698194">
    <w:multiLevelType w:val="hybridMultilevel"/>
    <w:lvl w:ilvl="0" w:tplc="57978937">
      <w:start w:val="1"/>
      <w:numFmt w:val="decimal"/>
      <w:lvlText w:val="%1."/>
      <w:lvlJc w:val="left"/>
      <w:pPr>
        <w:ind w:left="720" w:hanging="360"/>
      </w:pPr>
    </w:lvl>
    <w:lvl w:ilvl="1" w:tplc="57978937" w:tentative="1">
      <w:start w:val="1"/>
      <w:numFmt w:val="lowerLetter"/>
      <w:lvlText w:val="%2."/>
      <w:lvlJc w:val="left"/>
      <w:pPr>
        <w:ind w:left="1440" w:hanging="360"/>
      </w:pPr>
    </w:lvl>
    <w:lvl w:ilvl="2" w:tplc="57978937" w:tentative="1">
      <w:start w:val="1"/>
      <w:numFmt w:val="lowerRoman"/>
      <w:lvlText w:val="%3."/>
      <w:lvlJc w:val="right"/>
      <w:pPr>
        <w:ind w:left="2160" w:hanging="180"/>
      </w:pPr>
    </w:lvl>
    <w:lvl w:ilvl="3" w:tplc="57978937" w:tentative="1">
      <w:start w:val="1"/>
      <w:numFmt w:val="decimal"/>
      <w:lvlText w:val="%4."/>
      <w:lvlJc w:val="left"/>
      <w:pPr>
        <w:ind w:left="2880" w:hanging="360"/>
      </w:pPr>
    </w:lvl>
    <w:lvl w:ilvl="4" w:tplc="57978937" w:tentative="1">
      <w:start w:val="1"/>
      <w:numFmt w:val="lowerLetter"/>
      <w:lvlText w:val="%5."/>
      <w:lvlJc w:val="left"/>
      <w:pPr>
        <w:ind w:left="3600" w:hanging="360"/>
      </w:pPr>
    </w:lvl>
    <w:lvl w:ilvl="5" w:tplc="57978937" w:tentative="1">
      <w:start w:val="1"/>
      <w:numFmt w:val="lowerRoman"/>
      <w:lvlText w:val="%6."/>
      <w:lvlJc w:val="right"/>
      <w:pPr>
        <w:ind w:left="4320" w:hanging="180"/>
      </w:pPr>
    </w:lvl>
    <w:lvl w:ilvl="6" w:tplc="57978937" w:tentative="1">
      <w:start w:val="1"/>
      <w:numFmt w:val="decimal"/>
      <w:lvlText w:val="%7."/>
      <w:lvlJc w:val="left"/>
      <w:pPr>
        <w:ind w:left="5040" w:hanging="360"/>
      </w:pPr>
    </w:lvl>
    <w:lvl w:ilvl="7" w:tplc="57978937" w:tentative="1">
      <w:start w:val="1"/>
      <w:numFmt w:val="lowerLetter"/>
      <w:lvlText w:val="%8."/>
      <w:lvlJc w:val="left"/>
      <w:pPr>
        <w:ind w:left="5760" w:hanging="360"/>
      </w:pPr>
    </w:lvl>
    <w:lvl w:ilvl="8" w:tplc="57978937" w:tentative="1">
      <w:start w:val="1"/>
      <w:numFmt w:val="lowerRoman"/>
      <w:lvlText w:val="%9."/>
      <w:lvlJc w:val="right"/>
      <w:pPr>
        <w:ind w:left="6480" w:hanging="180"/>
      </w:pPr>
    </w:lvl>
  </w:abstractNum>
  <w:abstractNum w:abstractNumId="85698193">
    <w:multiLevelType w:val="hybridMultilevel"/>
    <w:lvl w:ilvl="0" w:tplc="628391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698193">
    <w:abstractNumId w:val="85698193"/>
  </w:num>
  <w:num w:numId="85698194">
    <w:abstractNumId w:val="856981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82652670" Type="http://schemas.openxmlformats.org/officeDocument/2006/relationships/numbering" Target="numbering.xml"/><Relationship Id="rId87504515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