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2006225" w:name="document"/>
    <w:bookmarkEnd w:id="52006225"/>
    <w:p/>
    <w:p>
      <w:pPr>
        <w:widowControl w:val="on"/>
        <w:pBdr/>
        <w:spacing w:before="0" w:after="280" w:line="240" w:lineRule="auto"/>
        <w:ind w:left="0" w:right="0"/>
        <w:jc w:val="left"/>
      </w:pPr>
      <w:r>
        <w:rPr>
          <w:rFonts w:ascii="Arial" w:hAnsi="Arial" w:eastAsia="Arial" w:cs="Arial"/>
          <w:color w:val="363A40"/>
          <w:sz w:val="24"/>
          <w:szCs w:val="24"/>
        </w:rPr>
        <w:t xml:space="preserve">Dokument-ID: 549575 | Christoph Naske - Karin
Zahiragic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Kaufvertrag über eine Eigentumswohnung mit einer ausländischen
natürlichen Person gem NÖ Grundverkehrsgesetz</w:t>
      </w:r>
    </w:p>
    <w:p>
      <w:pPr>
        <w:widowControl w:val="on"/>
        <w:pBdr/>
        <w:spacing w:before="140" w:after="240" w:line="288" w:lineRule="auto"/>
        <w:ind w:left="0" w:right="0"/>
        <w:jc w:val="left"/>
      </w:pPr>
      <w:r>
        <w:rPr>
          <w:rFonts w:ascii="Arial" w:hAnsi="Arial" w:eastAsia="Arial" w:cs="Arial"/>
          <w:color w:val="000000"/>
          <w:sz w:val="20"/>
          <w:szCs w:val="20"/>
        </w:rPr>
        <w:t xml:space="preserve">Der Vertrag ist darauf abgestimmt, dass als Käufer eine
ausländische natürliche Person auftritt.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Kaufvertrag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w:t>
      </w:r>
      <w:r>
        <w:rPr>
          <w:rFonts w:ascii="Arial" w:hAnsi="Arial" w:eastAsia="Arial" w:cs="Arial"/>
          <w:color w:val="000000"/>
          <w:sz w:val="20"/>
          <w:szCs w:val="20"/>
        </w:rPr>
        <w:br/>
        <w:t xml:space="preserve">1190 Wien, Greinergasse 20/3/9</w:t>
      </w:r>
      <w:r>
        <w:rPr>
          <w:rFonts w:ascii="Arial" w:hAnsi="Arial" w:eastAsia="Arial" w:cs="Arial"/>
          <w:color w:val="000000"/>
          <w:sz w:val="20"/>
          <w:szCs w:val="20"/>
        </w:rPr>
        <w:br/>
        <w:t xml:space="preserve">und</w:t>
      </w:r>
      <w:r>
        <w:rPr>
          <w:rFonts w:ascii="Arial" w:hAnsi="Arial" w:eastAsia="Arial" w:cs="Arial"/>
          <w:color w:val="000000"/>
          <w:sz w:val="20"/>
          <w:szCs w:val="20"/>
        </w:rPr>
        <w:br/>
        <w:t xml:space="preserve">Renate Müller, geb 21.08.1973</w:t>
      </w:r>
      <w:r>
        <w:rPr>
          <w:rFonts w:ascii="Arial" w:hAnsi="Arial" w:eastAsia="Arial" w:cs="Arial"/>
          <w:color w:val="000000"/>
          <w:sz w:val="20"/>
          <w:szCs w:val="20"/>
        </w:rPr>
        <w:br/>
        <w:t xml:space="preserve">1190 Wien, Greinergasse 20/3/9</w:t>
      </w:r>
      <w:r>
        <w:rPr>
          <w:rFonts w:ascii="Arial" w:hAnsi="Arial" w:eastAsia="Arial" w:cs="Arial"/>
          <w:color w:val="000000"/>
          <w:sz w:val="20"/>
          <w:szCs w:val="20"/>
        </w:rPr>
        <w:br/>
        <w:t xml:space="preserve">als </w:t>
      </w:r>
      <w:r>
        <w:rPr>
          <w:rFonts w:ascii="Arial" w:hAnsi="Arial" w:eastAsia="Arial" w:cs="Arial"/>
          <w:b/>
          <w:bCs/>
          <w:color w:val="000000"/>
          <w:sz w:val="20"/>
          <w:szCs w:val="20"/>
        </w:rPr>
        <w:t xml:space="preserve">„Verkäufer“</w:t>
      </w:r>
      <w:r>
        <w:rPr>
          <w:rFonts w:ascii="Arial" w:hAnsi="Arial" w:eastAsia="Arial" w:cs="Arial"/>
          <w:color w:val="000000"/>
          <w:sz w:val="20"/>
          <w:szCs w:val="20"/>
        </w:rPr>
        <w:t xml:space="preserve">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Anastasia Irina Kolokov, geb 02.05.1970</w:t>
      </w:r>
      <w:r>
        <w:rPr>
          <w:rFonts w:ascii="Arial" w:hAnsi="Arial" w:eastAsia="Arial" w:cs="Arial"/>
          <w:color w:val="000000"/>
          <w:sz w:val="20"/>
          <w:szCs w:val="20"/>
        </w:rPr>
        <w:br/>
        <w:t xml:space="preserve">3100 St. Pölten, Niederösterreichring 37/20</w:t>
      </w:r>
      <w:r>
        <w:rPr>
          <w:rFonts w:ascii="Arial" w:hAnsi="Arial" w:eastAsia="Arial" w:cs="Arial"/>
          <w:color w:val="000000"/>
          <w:sz w:val="20"/>
          <w:szCs w:val="20"/>
        </w:rPr>
        <w:br/>
        <w:t xml:space="preserve">(FN 99999g)</w:t>
      </w:r>
      <w:r>
        <w:rPr>
          <w:rFonts w:ascii="Arial" w:hAnsi="Arial" w:eastAsia="Arial" w:cs="Arial"/>
          <w:color w:val="000000"/>
          <w:sz w:val="20"/>
          <w:szCs w:val="20"/>
        </w:rPr>
        <w:br/>
        <w:t xml:space="preserve">als </w:t>
      </w:r>
      <w:r>
        <w:rPr>
          <w:rFonts w:ascii="Arial" w:hAnsi="Arial" w:eastAsia="Arial" w:cs="Arial"/>
          <w:b/>
          <w:bCs/>
          <w:color w:val="000000"/>
          <w:sz w:val="20"/>
          <w:szCs w:val="20"/>
        </w:rPr>
        <w:t xml:space="preserve">„Käuferin“</w:t>
      </w:r>
      <w:r>
        <w:rPr>
          <w:rFonts w:ascii="Arial" w:hAnsi="Arial" w:eastAsia="Arial" w:cs="Arial"/>
          <w:color w:val="000000"/>
          <w:sz w:val="20"/>
          <w:szCs w:val="20"/>
        </w:rPr>
        <w:t xml:space="preserve"> andererseits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 und Renate Müller, geb 21.08.1973 –
im Folgenden Verkäufer genannt – sind Eigentümer nachstehender
Liegenschaftsanteile: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16110 Gumpoldskirchen</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2363</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Mödling</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2019-03-31</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726/2006</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283/3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1.392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289</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(begrünt)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1.103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Badgasse 48</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gelöscht</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 – NAME: Schübl</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Hans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1941-09-01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Renate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1973-08-21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Diese Eigentumswohnung bildet nun samt allen damit verbundenen
Rechten und Pflichten, so wie die Verkäufer sie ausgeübt haben oder
ausüben hätten können, den Gegenstand dieses Kaufvertrages.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Lasten</w:t>
      </w:r>
    </w:p>
    <w:p>
      <w:pPr>
        <w:widowControl w:val="on"/>
        <w:pBdr/>
        <w:spacing w:before="140" w:after="240" w:line="288" w:lineRule="auto"/>
        <w:ind w:left="0" w:right="0"/>
        <w:jc w:val="left"/>
      </w:pPr>
      <w:r>
        <w:rPr>
          <w:rFonts w:ascii="Arial" w:hAnsi="Arial" w:eastAsia="Arial" w:cs="Arial"/>
          <w:color w:val="000000"/>
          <w:sz w:val="20"/>
          <w:szCs w:val="20"/>
        </w:rPr>
        <w:t xml:space="preserve">Ob den kaufgegenständlichen Liegenschaftsanteilen haften
nachstehende Lasten aus:</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C</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5193/1998 Pfandurkunde 1998-09-07</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Höchstbetrag 2,700.000,–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3941/2000 Pfandurkunde 2000-06-26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100.000,– 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7293/2000 Pfandurkunde 2000-10-31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20.000,– für Raiffeisenbank
Prinzersdorf registrierte Genossenschaft mit beschränkter
Haftung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Käuferin sind diese Lasten zur Kenntnis gebracht worden. Die
Lasten werden von der Käuferin nicht übernommen.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Übergabe/Übernahme</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verkaufen und übergeben nun und die Käuferin
übernimmt nun den in Pkt I. näher genannten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Die tatsächliche Übergabe erfolgt bis … [Datum] Zug um Zug gegen
die beidseitige Unterfertigung dieses Kaufvertrages, jedenfalls
aber nicht vor Eingang des Kaufpreises sowie Nebengebühren beim
Treuhänder durch Übergabe sämtlicher das Objekt sperrender
Schlüssel.</w:t>
      </w:r>
    </w:p>
    <w:p>
      <w:pPr>
        <w:widowControl w:val="on"/>
        <w:pBdr/>
        <w:spacing w:before="140" w:after="240" w:line="288" w:lineRule="auto"/>
        <w:ind w:left="0" w:right="0"/>
        <w:jc w:val="left"/>
      </w:pPr>
      <w:r>
        <w:rPr>
          <w:rFonts w:ascii="Arial" w:hAnsi="Arial" w:eastAsia="Arial" w:cs="Arial"/>
          <w:color w:val="000000"/>
          <w:sz w:val="20"/>
          <w:szCs w:val="20"/>
        </w:rPr>
        <w:t xml:space="preserve">Die Übergabe erfolgt vollständig geräumt von eigenen Fahrnissen
der Verkäufer. Sollte die Liegenschaft sich am hier vorgesehenen
Tag der Übergabe nicht in einem vollständig geräumten und
besenreinen Zustand befinden, ist die Käuferin berechtigt,
sämtliche noch in der Liegenschaft befindlichen Fahrnisse aus der
Liegenschaft zu entfernen und zu entsorgen. Die Verkäufer
verpflichten sich, der Käuferin alle dadurch entstehenden Kosten zu
ersetzen.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w:t>
      </w:r>
      <w:r>
        <w:rPr>
          <w:rFonts w:ascii="Arial" w:hAnsi="Arial" w:eastAsia="Arial" w:cs="Arial"/>
          <w:b/>
          <w:bCs/>
          <w:color w:val="363A40"/>
          <w:sz w:val="28"/>
          <w:szCs w:val="28"/>
        </w:rPr>
        <w:t xml:space="preserve">Vertragsstichtag</w:t>
      </w:r>
      <w:bookmarkStart w:id="71900218" w:name="link8"/>
      <w:bookmarkEnd w:id="71900218"/>
      <w:hyperlink w:anchor="note8" w:history="1">
        <w:r>
          <w:rPr>
            <w:rFonts w:ascii="Arial" w:hAnsi="Arial" w:eastAsia="Arial" w:cs="Arial"/>
            <w:b/>
            <w:bCs/>
            <w:color w:val="006BB6"/>
            <w:position w:val="6"/>
            <w:sz w:val="31"/>
            <w:szCs w:val="31"/>
            <w:vertAlign w:val="superscript"/>
          </w:rPr>
          <w:t xml:space="preserve">8</w:t>
        </w:r>
      </w:hyperlink>
    </w:p>
    <w:p>
      <w:pPr>
        <w:widowControl w:val="on"/>
        <w:pBdr/>
        <w:spacing w:before="140" w:after="240" w:line="288" w:lineRule="auto"/>
        <w:ind w:left="0" w:right="0"/>
        <w:jc w:val="left"/>
      </w:pPr>
      <w:r>
        <w:rPr>
          <w:rFonts w:ascii="Arial" w:hAnsi="Arial" w:eastAsia="Arial" w:cs="Arial"/>
          <w:color w:val="000000"/>
          <w:sz w:val="20"/>
          <w:szCs w:val="20"/>
        </w:rPr>
        <w:t xml:space="preserve">Als Übergang von Nutzen und Lasten, Gefahr und Zufall
vereinbaren die Vertragsteile den Tag der tatsächlichen
Übergabe.</w:t>
      </w:r>
    </w:p>
    <w:p>
      <w:pPr>
        <w:widowControl w:val="on"/>
        <w:pBdr/>
        <w:spacing w:before="140" w:after="240" w:line="288" w:lineRule="auto"/>
        <w:ind w:left="0" w:right="0"/>
        <w:jc w:val="left"/>
      </w:pPr>
      <w:r>
        <w:rPr>
          <w:rFonts w:ascii="Arial" w:hAnsi="Arial" w:eastAsia="Arial" w:cs="Arial"/>
          <w:color w:val="000000"/>
          <w:sz w:val="20"/>
          <w:szCs w:val="20"/>
        </w:rPr>
        <w:t xml:space="preserve">Bis dahin entstandene Lasten, auch wenn sie erst zu einem
späteren Zeitpunkt zur Zahlung fällig werden sollten, haben noch
die Verkäufer zu tragen, danach entstehende Verbindlichkeiten
fallen der Käuferin zur Last.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Ein allfälliges Guthaben bzw ein allfälliger Rückstand der
verkaufenden Partei aus einem Reparatur- bzw Instandhaltungsfonds
oder aus einer Betriebskostenabrechnung steht ohne weitere
Verrechnung der kaufenden Partei zu bzw geht ohne weitere
Verrechnung zu ihren Lasten.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Kaufpreis</w:t>
      </w:r>
    </w:p>
    <w:p>
      <w:pPr>
        <w:widowControl w:val="on"/>
        <w:pBdr/>
        <w:spacing w:before="140" w:after="240" w:line="288" w:lineRule="auto"/>
        <w:ind w:left="0" w:right="0"/>
        <w:jc w:val="left"/>
      </w:pPr>
      <w:r>
        <w:rPr>
          <w:rFonts w:ascii="Arial" w:hAnsi="Arial" w:eastAsia="Arial" w:cs="Arial"/>
          <w:color w:val="000000"/>
          <w:sz w:val="20"/>
          <w:szCs w:val="20"/>
        </w:rPr>
        <w:t xml:space="preserve">Der Kaufpreis beträgt EUR 215.000,– (in Worten:
zweihundertfünfzehntausend Euro).</w:t>
      </w:r>
    </w:p>
    <w:p>
      <w:pPr>
        <w:widowControl w:val="on"/>
        <w:pBdr/>
        <w:spacing w:before="140" w:after="240" w:line="288" w:lineRule="auto"/>
        <w:ind w:left="0" w:right="0"/>
        <w:jc w:val="left"/>
      </w:pPr>
      <w:r>
        <w:rPr>
          <w:rFonts w:ascii="Arial" w:hAnsi="Arial" w:eastAsia="Arial" w:cs="Arial"/>
          <w:color w:val="000000"/>
          <w:sz w:val="20"/>
          <w:szCs w:val="20"/>
        </w:rPr>
        <w:t xml:space="preserve">Der Kaufpreis ist von der Käuferin innerhalb von drei Wochen
nach Unterfertigung dieses Vertrages auf ein vom Vertragserrichter
und Treuhänder Rechtsanwalt Dr. Hans-Peter Musteranwalt unter den
Regeln des elektronischen anwaltlichen Treuhandbuches geführtes
Anderkonto bei der Uni-Credit Bank Austria AG (BLZ 12000) mit der
Kontonummer 00000000000000000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des Verzuges werden Verzugszinsen in Höhe von
8 % pa vereinbart.</w:t>
      </w:r>
    </w:p>
    <w:p>
      <w:pPr>
        <w:widowControl w:val="on"/>
        <w:pBdr/>
        <w:spacing w:before="140" w:after="240" w:line="288" w:lineRule="auto"/>
        <w:ind w:left="0" w:right="0"/>
        <w:jc w:val="left"/>
      </w:pPr>
      <w:r>
        <w:rPr>
          <w:rFonts w:ascii="Arial" w:hAnsi="Arial" w:eastAsia="Arial" w:cs="Arial"/>
          <w:color w:val="000000"/>
          <w:sz w:val="20"/>
          <w:szCs w:val="20"/>
        </w:rPr>
        <w:t xml:space="preserve">Weiters hat die Käuferin binnen gleicher Frist zur Vornahme der
für die Errichtung des Eigentumsrechtes der Käuferin erforderlichen
Selbstberechnung der Grunderwerbsteuer und Eintragungsgebühr den
hierfür erforderlichen Betrag von EUR 9.890,– auf das vom
genannten Vertragserrichter geführte allgemeine Anderkonto
000000000000000 bei der Uni-Credit Bank Austria, BLZ 12000,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bestellen nun Rechtsanwalt Dr. Hans-Peter
Musteranwalt, Musterstraße 25, 1010 Wien, einseitig nicht
widerrufbar zum gemeinsamen Treuhänder mit dem Auftrag</w:t>
      </w:r>
    </w:p>
    <w:p>
      <w:pPr>
        <w:numPr>
          <w:ilvl w:val="0"/>
          <w:numId w:val="57436456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Erhalt des Beschlusses über die Anmerkung der Rangordnung
für die Veräußerung (sonst unveränderter Grundbuchstand
vorausgesetzt),</w:t>
      </w:r>
    </w:p>
    <w:p>
      <w:pPr>
        <w:numPr>
          <w:ilvl w:val="0"/>
          <w:numId w:val="57436456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Eingang des Kaufpreises und der Nebenkosten auf dem
Treuhandkonto,</w:t>
      </w:r>
    </w:p>
    <w:p>
      <w:pPr>
        <w:numPr>
          <w:ilvl w:val="0"/>
          <w:numId w:val="57436456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rechtskräftiger Genehmigung dieses Vertrages nach dem
Niederösterreichischen Grundverkehrsgesetz</w:t>
      </w:r>
    </w:p>
    <w:p>
      <w:pPr>
        <w:widowControl w:val="on"/>
        <w:pBdr/>
        <w:spacing w:before="140" w:after="240" w:line="288" w:lineRule="auto"/>
        <w:ind w:left="0" w:right="0"/>
        <w:jc w:val="left"/>
      </w:pPr>
      <w:r>
        <w:rPr>
          <w:rFonts w:ascii="Arial" w:hAnsi="Arial" w:eastAsia="Arial" w:cs="Arial"/>
          <w:color w:val="000000"/>
          <w:sz w:val="20"/>
          <w:szCs w:val="20"/>
        </w:rPr>
        <w:t xml:space="preserve">zunächst die zur Lastenfreistellung erforderlichen Beträge an
die Pfandgläubiger auszuzahlen und</w:t>
      </w:r>
    </w:p>
    <w:p>
      <w:pPr>
        <w:numPr>
          <w:ilvl w:val="0"/>
          <w:numId w:val="86640813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Einverleibung des lastenfreien Eigentumsrechts der
Käuferin</w:t>
      </w:r>
    </w:p>
    <w:p>
      <w:pPr>
        <w:widowControl w:val="on"/>
        <w:pBdr/>
        <w:spacing w:before="140" w:after="240" w:line="288" w:lineRule="auto"/>
        <w:ind w:left="0" w:right="0"/>
        <w:jc w:val="left"/>
      </w:pPr>
      <w:r>
        <w:rPr>
          <w:rFonts w:ascii="Arial" w:hAnsi="Arial" w:eastAsia="Arial" w:cs="Arial"/>
          <w:color w:val="000000"/>
          <w:sz w:val="20"/>
          <w:szCs w:val="20"/>
        </w:rPr>
        <w:t xml:space="preserve">den Kaufpreis samt bis dahin angereiften Zinsen, jedoch
abzüglich Kapitalertragsteuer und Bankspesen, sowie abzüglich einer
den Verkäufern treffenden Immobilienertragsteuer
gem § 30b Abs 1 EStG 1988 auf ein von den Verkäufern
bekannt zu gebendes Konto auszuzahlen.</w:t>
      </w:r>
    </w:p>
    <w:p>
      <w:pPr>
        <w:widowControl w:val="on"/>
        <w:pBdr/>
        <w:spacing w:before="140" w:after="240" w:line="288" w:lineRule="auto"/>
        <w:ind w:left="0" w:right="0"/>
        <w:jc w:val="left"/>
      </w:pPr>
      <w:r>
        <w:rPr>
          <w:rFonts w:ascii="Arial" w:hAnsi="Arial" w:eastAsia="Arial" w:cs="Arial"/>
          <w:color w:val="000000"/>
          <w:sz w:val="20"/>
          <w:szCs w:val="20"/>
        </w:rPr>
        <w:t xml:space="preserve">Sollte der Kaufpreis nicht pünktlich auf dem Treuhandkonto
eintreffen, können die Verkäufer unbeschadet allfälliger
Schadenersatzansprüche ohne Setzung einer Nachfrist vom Vertrag
durch schriftliche Erklärung an die Käuferin zu Handen des
Treuhänders (und nur in dieser Weise) zurücktreten. Der Vertrag
bleibt aber aufrecht, wenn die Zahlung spätestens am Tag der
Rücktrittserklärung am Treuhandkonto einlangt. Im Falle eines
derartigen Rücktrittes hat der Treuhänder die Originalurkunde an
den Verkäufer auszufolgen und einen allenfalls später einlangenden
Kaufpreis an die Käuferin zurückzuzahlen.</w:t>
      </w:r>
    </w:p>
    <w:p>
      <w:pPr>
        <w:widowControl w:val="on"/>
        <w:pBdr/>
        <w:spacing w:before="140" w:after="240" w:line="288" w:lineRule="auto"/>
        <w:ind w:left="0" w:right="0"/>
        <w:jc w:val="left"/>
      </w:pPr>
      <w:r>
        <w:rPr>
          <w:rFonts w:ascii="Arial" w:hAnsi="Arial" w:eastAsia="Arial" w:cs="Arial"/>
          <w:color w:val="000000"/>
          <w:sz w:val="20"/>
          <w:szCs w:val="20"/>
        </w:rPr>
        <w:t xml:space="preserve">Der Treuhänder hat Auszahlungen an Pfandgläubiger nur
vorzunehmen, wenn durch Erklärungen aller Gläubiger sichergestellt
ist, dass die Lastenfreistellung des Vertragsgegenstandes aus dem
Kaufpreis möglich ist. Stellt sich heraus, dass dies nicht binnen
drei Monaten möglich ist, so ist die Käuferin zum Rücktritt
berechtigt. Der Treuhänder ist in diesem Fall (unabhängig vom
Rücktritt) jedenfalls berechtigt, den Treuhanderlag an den Erleger
zurückzuüberweisen und ist aus seiner Treuhandhaftung
entlassen.</w:t>
      </w:r>
    </w:p>
    <w:p>
      <w:pPr>
        <w:widowControl w:val="on"/>
        <w:pBdr/>
        <w:spacing w:before="140" w:after="240" w:line="288" w:lineRule="auto"/>
        <w:ind w:left="0" w:right="0"/>
        <w:jc w:val="left"/>
      </w:pPr>
      <w:r>
        <w:rPr>
          <w:rFonts w:ascii="Arial" w:hAnsi="Arial" w:eastAsia="Arial" w:cs="Arial"/>
          <w:color w:val="000000"/>
          <w:sz w:val="20"/>
          <w:szCs w:val="20"/>
        </w:rPr>
        <w:t xml:space="preserve">Der Vertragserrichter hat diesen Kaufvertrag beim Finanzamt
anzuzeigen oder eine Selbstberechnung der Grunderwerbsteuer
(3,5 % des Kaufpreises) und Eintragungsgebühr (1,1 % des
Kaufpreises) vorzunehmen sowie die genannten Abgaben aus dem
Treuhanderlag an das zuständige Finanzamt abzuführen. Der
Vertragserrichter wird von den Vertragsparteien dazu ausdrücklich
bevollmächtigt und beauftragt.</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ihre ausdrückliche Zustimmung,
dass die zur Abwicklung erforderlichen Daten elektronisch
gespeichert, verarbeitet und übermittelt werden.</w:t>
      </w:r>
    </w:p>
    <w:p>
      <w:pPr>
        <w:widowControl w:val="on"/>
        <w:pBdr/>
        <w:spacing w:before="140" w:after="240" w:line="288" w:lineRule="auto"/>
        <w:ind w:left="0" w:right="0"/>
        <w:jc w:val="left"/>
      </w:pPr>
      <w:r>
        <w:rPr>
          <w:rFonts w:ascii="Arial" w:hAnsi="Arial" w:eastAsia="Arial" w:cs="Arial"/>
          <w:color w:val="000000"/>
          <w:sz w:val="20"/>
          <w:szCs w:val="20"/>
        </w:rPr>
        <w:t xml:space="preserve">Die Abwicklung der Treuhandschaft unterliegt der Kontrolle von
aus dem Kreis der Rechtsanwälte zu bestimmenden
Revisionsbeauftragten, die einer besonderen
Verschwiegenheitspflicht unterliegen. Die Vertragsteile entbinden
in diesem Zusammenhang den Vertragsverfasser ausdrücklich gegenüber
einem solchen Revisionsbeauftragten von der
Verschwiegenheitspflicht.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und die Käuferin nehmen zur Kenntnis, dass durch
diesen Vertrag lediglich der vertragskonforme Liegenschaftserwerb
der Käuferin und die vertragskonforme Verwendung des Kaufpreises
abgesichert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Gewährleistung</w:t>
      </w:r>
    </w:p>
    <w:p>
      <w:pPr>
        <w:widowControl w:val="on"/>
        <w:pBdr/>
        <w:spacing w:before="140" w:after="240" w:line="288" w:lineRule="auto"/>
        <w:ind w:left="0" w:right="0"/>
        <w:jc w:val="left"/>
      </w:pPr>
      <w:r>
        <w:rPr>
          <w:rFonts w:ascii="Arial" w:hAnsi="Arial" w:eastAsia="Arial" w:cs="Arial"/>
          <w:color w:val="000000"/>
          <w:sz w:val="20"/>
          <w:szCs w:val="20"/>
        </w:rPr>
        <w:t xml:space="preserve">Die Käuferin hat den Vertragsgegenstand eingehend besichtigt und
ist über dessen Zustand in Kenntnis.</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keine Gewähr für einen bestimmten
Zustand oder eine bestimmte Ertragsfähigkeit und Beschaffenheit des
Vertragsgegenstandes an sich, wohl aber dafür, dass dieser völlig
bestandfrei und frei von sonstigen bücherlichen oder
außerbücherlichen Lasten wie auch Dienstbarkeiten, Reallasten und
dergleichen ist, sowie dass der Vertragsgegenstand ihr unbelastetes
Eigentum ist und lastenfrei in das Eigentum der Käuferin übergehen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dass sich die technischen Einrichtungen
und Leitungen in brauchbarem Zustand befinden. Weiters wird
zugesichert, dass keine offenen behördlichen Bauaufträge bestehen
und das Objekt nicht unter Denkmalschutz steht. Es bestehen keine
Abgabenrückstände.</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der mitverkauften Einrichtung erklären die
Verkäufer, dass zum Zeitpunkt der Übergabe alle Geräte
funktionstüchtig sind. Eine darüber hinausgehende Gewährleistung
wird ausgeschlossen.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halten fest, dass wesentliche Voraussetzung für den
Kaufvertrag die Bestandsfreiheit ist. Die Verkäufer garantieren
nun, dass keine aufrechten Bestandverhältnisse oder sonstigen
Nutzungsrechte Dritter an der Liegenschaft bestehen. Sollten nach
Vertragsabschluss derartige Rechte von Dritten behauptet werden, so
steht dem Käufer das Recht zu, vom Vertrag zurückzutreten.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Vertragsverfasser/Vollmacht</w:t>
      </w:r>
    </w:p>
    <w:p>
      <w:pPr>
        <w:widowControl w:val="on"/>
        <w:pBdr/>
        <w:spacing w:before="140" w:after="240" w:line="288" w:lineRule="auto"/>
        <w:ind w:left="0" w:right="0"/>
        <w:jc w:val="left"/>
      </w:pPr>
      <w:r>
        <w:rPr>
          <w:rFonts w:ascii="Arial" w:hAnsi="Arial" w:eastAsia="Arial" w:cs="Arial"/>
          <w:color w:val="000000"/>
          <w:sz w:val="20"/>
          <w:szCs w:val="20"/>
        </w:rPr>
        <w:t xml:space="preserve">Beide Vertragsteile erteilen dem Verfasser dieses Vertrages,
Rechtsanwalt Dr. Hans-Peter Musteranwalt, 1010 Wien, Musterstraße
25, Vollmacht und Auftrag, zu diesem Vertrag Nachträge zu
errichten, sofern dies zur vertragskonformen Herstellung der
Grundbuchsordnung notwendig oder doch zweckmäßig ist.</w:t>
      </w:r>
    </w:p>
    <w:p>
      <w:pPr>
        <w:widowControl w:val="on"/>
        <w:pBdr/>
        <w:spacing w:before="140" w:after="240" w:line="288" w:lineRule="auto"/>
        <w:ind w:left="0" w:right="0"/>
        <w:jc w:val="left"/>
      </w:pPr>
      <w:r>
        <w:rPr>
          <w:rFonts w:ascii="Arial" w:hAnsi="Arial" w:eastAsia="Arial" w:cs="Arial"/>
          <w:color w:val="000000"/>
          <w:sz w:val="20"/>
          <w:szCs w:val="20"/>
        </w:rPr>
        <w:t xml:space="preserve">Weiters erteilen die Vertragsparteien dem genanntem Rechtsanwalt
überhaupt die Vollmacht, sie im Zusammenhang mit der Abwicklung
dieses Vertrages gegenüber Gerichten und Behörden sowie
Kreditinstituten zu vertreten und entbinden Letztere vom
Bankgeheimnis.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Abgaben, Gebühren, Kosten</w:t>
      </w:r>
    </w:p>
    <w:p>
      <w:pPr>
        <w:widowControl w:val="on"/>
        <w:pBdr/>
        <w:spacing w:before="140" w:after="240" w:line="288" w:lineRule="auto"/>
        <w:ind w:left="0" w:right="0"/>
        <w:jc w:val="left"/>
      </w:pPr>
      <w:r>
        <w:rPr>
          <w:rFonts w:ascii="Arial" w:hAnsi="Arial" w:eastAsia="Arial" w:cs="Arial"/>
          <w:color w:val="000000"/>
          <w:sz w:val="20"/>
          <w:szCs w:val="20"/>
        </w:rPr>
        <w:t xml:space="preserve">Sämtliche mit der Errichtung und Durchführung dieses Vertrages
verbundenen Gebühren (Gerichtsgebühren, Legalisierungsgebühren,
etc) sowie die Grunderwerbsteuer und Eintragungsgebühr trägt die
Käuferin, der auch die Kosten des von ihr beauftragten
Vertragsverfassers zur Last fallen.</w:t>
      </w:r>
    </w:p>
    <w:p>
      <w:pPr>
        <w:widowControl w:val="on"/>
        <w:pBdr/>
        <w:spacing w:before="140" w:after="240" w:line="288" w:lineRule="auto"/>
        <w:ind w:left="0" w:right="0"/>
        <w:jc w:val="left"/>
      </w:pPr>
      <w:r>
        <w:rPr>
          <w:rFonts w:ascii="Arial" w:hAnsi="Arial" w:eastAsia="Arial" w:cs="Arial"/>
          <w:color w:val="000000"/>
          <w:sz w:val="20"/>
          <w:szCs w:val="20"/>
        </w:rPr>
        <w:t xml:space="preserve">Die Kosten einer allfälligen rechtlichen Beratung oder
Vertretung trägt jede Partei selbst.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Aufsandungserklärung</w:t>
      </w:r>
    </w:p>
    <w:p>
      <w:pPr>
        <w:widowControl w:val="on"/>
        <w:pBdr/>
        <w:spacing w:before="140" w:after="240" w:line="288" w:lineRule="auto"/>
        <w:ind w:left="0" w:right="0"/>
        <w:jc w:val="left"/>
      </w:pPr>
      <w:r>
        <w:rPr>
          <w:rFonts w:ascii="Arial" w:hAnsi="Arial" w:eastAsia="Arial" w:cs="Arial"/>
          <w:color w:val="000000"/>
          <w:sz w:val="20"/>
          <w:szCs w:val="20"/>
        </w:rPr>
        <w:t xml:space="preserve">Sohin erteilen Hans Müller, geb 01.09.1941, und Renate Müller,
geb 21.08.1973, ihre Einwilligung, dass aufgrund dieses Vertrages
ob nachstehender Liegenschaftsanteile, mit welchen Wohnungseigentum
an der Wohnung W 2 untrennbar verbunden ist: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16110 Gumpoldskirchen</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2363</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Mödling</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2019-03-31</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726/2006</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283/3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1.392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289</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(begrünt)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1.103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Badgasse 48</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gelöscht</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 – NAME: Schübl</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Hans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1941-09-01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Renate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1973-08-21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bl>
    <w:p>
      <w:pPr>
        <w:widowControl w:val="on"/>
        <w:pBdr/>
        <w:spacing w:before="140" w:after="240" w:line="288" w:lineRule="auto"/>
        <w:ind w:left="0" w:right="0"/>
        <w:jc w:val="left"/>
      </w:pPr>
      <w:r>
        <w:rPr>
          <w:rFonts w:ascii="Arial" w:hAnsi="Arial" w:eastAsia="Arial" w:cs="Arial"/>
          <w:color w:val="000000"/>
          <w:sz w:val="20"/>
          <w:szCs w:val="20"/>
        </w:rPr>
        <w:t xml:space="preserve">das Eigentumsrecht für Frau</w:t>
      </w:r>
    </w:p>
    <w:p>
      <w:pPr>
        <w:widowControl w:val="on"/>
        <w:pBdr/>
        <w:spacing w:before="140" w:after="240" w:line="288" w:lineRule="auto"/>
        <w:ind w:left="0" w:right="0"/>
        <w:jc w:val="left"/>
      </w:pPr>
      <w:r>
        <w:rPr>
          <w:rFonts w:ascii="Arial" w:hAnsi="Arial" w:eastAsia="Arial" w:cs="Arial"/>
          <w:b/>
          <w:bCs/>
          <w:color w:val="000000"/>
          <w:sz w:val="20"/>
          <w:szCs w:val="20"/>
        </w:rPr>
        <w:t xml:space="preserve">Anastasia Irina Kolokov, geb 02.05.1970</w:t>
      </w:r>
      <w:r>
        <w:rPr>
          <w:rFonts w:ascii="Arial" w:hAnsi="Arial" w:eastAsia="Arial" w:cs="Arial"/>
          <w:color w:val="000000"/>
          <w:sz w:val="20"/>
          <w:szCs w:val="20"/>
        </w:rPr>
        <w:br/>
        <w:t xml:space="preserve">3100 St. Pölten, Niederösterreichring 37/20</w:t>
      </w:r>
    </w:p>
    <w:p>
      <w:pPr>
        <w:widowControl w:val="on"/>
        <w:pBdr/>
        <w:spacing w:before="140" w:after="240" w:line="288" w:lineRule="auto"/>
        <w:ind w:left="0" w:right="0"/>
        <w:jc w:val="left"/>
      </w:pPr>
      <w:r>
        <w:rPr>
          <w:rFonts w:ascii="Arial" w:hAnsi="Arial" w:eastAsia="Arial" w:cs="Arial"/>
          <w:color w:val="000000"/>
          <w:sz w:val="20"/>
          <w:szCs w:val="20"/>
        </w:rPr>
        <w:t xml:space="preserve">grundbücherlich einverleibt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Übergang von </w:t>
      </w:r>
      <w:r>
        <w:rPr>
          <w:rFonts w:ascii="Arial" w:hAnsi="Arial" w:eastAsia="Arial" w:cs="Arial"/>
          <w:b/>
          <w:bCs/>
          <w:color w:val="363A40"/>
          <w:sz w:val="28"/>
          <w:szCs w:val="28"/>
        </w:rPr>
        <w:t xml:space="preserve">Versicherungen</w:t>
      </w:r>
      <w:bookmarkStart w:id="26139042" w:name="link5"/>
      <w:bookmarkEnd w:id="26139042"/>
      <w:hyperlink w:anchor="note5" w:history="1">
        <w:r>
          <w:rPr>
            <w:rFonts w:ascii="Arial" w:hAnsi="Arial" w:eastAsia="Arial" w:cs="Arial"/>
            <w:b/>
            <w:bCs/>
            <w:color w:val="006BB6"/>
            <w:position w:val="6"/>
            <w:sz w:val="31"/>
            <w:szCs w:val="31"/>
            <w:vertAlign w:val="superscript"/>
          </w:rPr>
          <w:t xml:space="preserve">5</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Käuferin wurde darüber aufgeklärt, dass eine allenfalls für
die veräußerte Liegenschaft abgeschlossene Versicherung
gem § 69 VersVG auf sie übergeht sowie, dass sie eine
derartige Versicherung innerhalb eines Monats ab Einverleibung
ihres Eigentums im Grundbuch kündigen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sind verpflichtet, der Käuferin sämtliche für das
Vertragsobjekt bestehenden Versicherungen unter Angabe der
Versicherungsgesellschaft und der Polizzennummer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w:t>
      </w:r>
      <w:r>
        <w:rPr>
          <w:rFonts w:ascii="Arial" w:hAnsi="Arial" w:eastAsia="Arial" w:cs="Arial"/>
          <w:b/>
          <w:bCs/>
          <w:color w:val="363A40"/>
          <w:sz w:val="28"/>
          <w:szCs w:val="28"/>
        </w:rPr>
        <w:t xml:space="preserve">Energieausweis</w:t>
      </w:r>
      <w:bookmarkStart w:id="78311397" w:name="link6"/>
      <w:bookmarkEnd w:id="78311397"/>
      <w:hyperlink w:anchor="note6" w:history="1">
        <w:r>
          <w:rPr>
            <w:rFonts w:ascii="Arial" w:hAnsi="Arial" w:eastAsia="Arial" w:cs="Arial"/>
            <w:b/>
            <w:bCs/>
            <w:color w:val="006BB6"/>
            <w:position w:val="6"/>
            <w:sz w:val="31"/>
            <w:szCs w:val="31"/>
            <w:vertAlign w:val="superscript"/>
          </w:rPr>
          <w:t xml:space="preserve">6</w:t>
        </w:r>
      </w:hyperlink>
    </w:p>
    <w:p>
      <w:pPr>
        <w:widowControl w:val="on"/>
        <w:pBdr/>
        <w:spacing w:before="0" w:after="0" w:line="240" w:lineRule="auto"/>
        <w:ind w:left="0" w:right="0"/>
        <w:jc w:val="left"/>
      </w:pPr>
      <w:r>
        <w:rPr>
          <w:rFonts w:ascii="Arial" w:hAnsi="Arial" w:eastAsia="Arial" w:cs="Arial"/>
          <w:color w:val="277DB9"/>
          <w:sz w:val="20"/>
          <w:szCs w:val="20"/>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Ein Energieausweis kann von den Verkäufern nicht vorgelegt
werden. Unter Bedachtnahme auf das Energieausweis-Vorlage-Gesetz
wird ausdrücklich festgehalten, dass das gegenständliche Gebäude
eine dem Alter und der Art des Gebäudes entsprechende
Gesamtenergieeffizienz aufweist. Dieser Umstand wurde bei der
Vereinbarung des Kaufpreises bereits berücksichtigt, sodass
allfällige Gewährleistungsbehelfe (Verbesserung, Preisminderung,
Wandlung) ausgeschlossen werden.</w:t>
      </w:r>
    </w:p>
    <w:p>
      <w:pPr>
        <w:widowControl w:val="on"/>
        <w:pBdr/>
        <w:spacing w:before="0" w:after="0" w:line="240" w:lineRule="auto"/>
        <w:ind w:left="0" w:right="0"/>
        <w:jc w:val="left"/>
      </w:pPr>
      <w:r>
        <w:rPr>
          <w:rFonts w:ascii="Arial" w:hAnsi="Arial" w:eastAsia="Arial" w:cs="Arial"/>
          <w:color w:val="277DB9"/>
          <w:sz w:val="20"/>
          <w:szCs w:val="20"/>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Die Verkäufer legen einen Energieausweis vor, der diesem Vertrag
als Beilage ./A (ohne Anhang) angeschlossen wird. Die Käuferin
bestätigt, den Energieausweis einschließlich Anhang erhalten zu
haben.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Inländereigenschaft</w:t>
      </w:r>
    </w:p>
    <w:p>
      <w:pPr>
        <w:widowControl w:val="on"/>
        <w:pBdr/>
        <w:spacing w:before="140" w:after="240" w:line="288" w:lineRule="auto"/>
        <w:ind w:left="0" w:right="0"/>
        <w:jc w:val="left"/>
      </w:pPr>
      <w:r>
        <w:rPr>
          <w:rFonts w:ascii="Arial" w:hAnsi="Arial" w:eastAsia="Arial" w:cs="Arial"/>
          <w:color w:val="000000"/>
          <w:sz w:val="20"/>
          <w:szCs w:val="20"/>
        </w:rPr>
        <w:t xml:space="preserve">Die Käuferin erklärt an Eides statt, russische Staatsbürgerin zu
sein. Die Verkäufer erklären an Eides statt, österreichische
Staatsbürger zu sein.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Aufschiebende </w:t>
      </w:r>
      <w:r>
        <w:rPr>
          <w:rFonts w:ascii="Arial" w:hAnsi="Arial" w:eastAsia="Arial" w:cs="Arial"/>
          <w:b/>
          <w:bCs/>
          <w:color w:val="363A40"/>
          <w:sz w:val="28"/>
          <w:szCs w:val="28"/>
        </w:rPr>
        <w:t xml:space="preserve">Bedingung</w:t>
      </w:r>
      <w:bookmarkStart w:id="10702185" w:name="link7"/>
      <w:bookmarkEnd w:id="10702185"/>
      <w:hyperlink w:anchor="note7" w:history="1">
        <w:r>
          <w:rPr>
            <w:rFonts w:ascii="Arial" w:hAnsi="Arial" w:eastAsia="Arial" w:cs="Arial"/>
            <w:b/>
            <w:bCs/>
            <w:color w:val="006BB6"/>
            <w:position w:val="6"/>
            <w:sz w:val="31"/>
            <w:szCs w:val="31"/>
            <w:vertAlign w:val="superscript"/>
          </w:rPr>
          <w:t xml:space="preserve">7</w:t>
        </w:r>
      </w:hyperlink>
    </w:p>
    <w:p>
      <w:pPr>
        <w:widowControl w:val="on"/>
        <w:pBdr/>
        <w:spacing w:before="140" w:after="240" w:line="288" w:lineRule="auto"/>
        <w:ind w:left="0" w:right="0"/>
        <w:jc w:val="left"/>
      </w:pPr>
      <w:r>
        <w:rPr>
          <w:rFonts w:ascii="Arial" w:hAnsi="Arial" w:eastAsia="Arial" w:cs="Arial"/>
          <w:color w:val="000000"/>
          <w:sz w:val="20"/>
          <w:szCs w:val="20"/>
        </w:rPr>
        <w:t xml:space="preserve">Dieser Vertrag bedarf einer Genehmigung nach dem
Niederösterreichischen Grundverkehrsgesetz. Der Vertrag wird unter
der aufschiebenden Bedingung geschlossen, dass der Rechtserwerb
durch die Käuferin durch die nach dem Niederösterreichischen
Grundverkehrsgesetz zuständige Behörde rechtskräftig genehmigt
wird.</w:t>
      </w:r>
    </w:p>
    <w:p>
      <w:pPr>
        <w:widowControl w:val="on"/>
        <w:pBdr/>
        <w:spacing w:before="140" w:after="240" w:line="288" w:lineRule="auto"/>
        <w:ind w:left="0" w:right="0"/>
        <w:jc w:val="left"/>
      </w:pPr>
      <w:r>
        <w:rPr>
          <w:rFonts w:ascii="Arial" w:hAnsi="Arial" w:eastAsia="Arial" w:cs="Arial"/>
          <w:color w:val="000000"/>
          <w:sz w:val="20"/>
          <w:szCs w:val="20"/>
        </w:rPr>
        <w:t xml:space="preserve">Die Einholung der Zustimmung der zuständigen
Ausländergrundverkehrskommission obliegt der Käuferin. Die
Verkäufer werden jedoch die Käuferin dabei bestmöglich unterstützen
und allfällige erforderliche Erklärungen abgeben und Unterschriften
über die erste Aufforderung leisten.</w:t>
      </w:r>
    </w:p>
    <w:p>
      <w:pPr>
        <w:widowControl w:val="on"/>
        <w:pBdr/>
        <w:spacing w:before="140" w:after="240" w:line="288" w:lineRule="auto"/>
        <w:ind w:left="0" w:right="0"/>
        <w:jc w:val="left"/>
      </w:pPr>
      <w:r>
        <w:rPr>
          <w:rFonts w:ascii="Arial" w:hAnsi="Arial" w:eastAsia="Arial" w:cs="Arial"/>
          <w:color w:val="000000"/>
          <w:sz w:val="20"/>
          <w:szCs w:val="20"/>
        </w:rPr>
        <w:t xml:space="preserve">Sollte die Genehmigung in erster Instanz versagt werden, so ist
die Käuferin berechtigt, nicht jedoch verpflichtet, ein
Rechtsmittel zu erheben. Wird die Versagung der Genehmigung
rechtskräftig, so ist der Vertrag endgültig unwirksam.</w:t>
      </w:r>
    </w:p>
    <w:p>
      <w:pPr>
        <w:widowControl w:val="on"/>
        <w:pBdr/>
        <w:spacing w:before="140" w:after="240" w:line="288" w:lineRule="auto"/>
        <w:ind w:left="0" w:right="0"/>
        <w:jc w:val="left"/>
      </w:pPr>
      <w:r>
        <w:rPr>
          <w:rFonts w:ascii="Arial" w:hAnsi="Arial" w:eastAsia="Arial" w:cs="Arial"/>
          <w:color w:val="000000"/>
          <w:sz w:val="20"/>
          <w:szCs w:val="20"/>
        </w:rPr>
        <w:t xml:space="preserve">Wird die Genehmigung auch in zweiter Instanz versagt, so ist die
Käuferin zwar zur Erhebung einer Beschwerde an die Gerichtshöfe des
öffentlichen Rechts berechtigt, die Verkäufer haben in diesem Fall
jedoch das Recht, durch gemeinsame einschreibbriefliche Erklärung
an die Käuferin bis zum Vorliegen einer Entscheidung über die
Beschwerde von diesem Vertrag zurückzutreten.</w:t>
      </w:r>
    </w:p>
    <w:p>
      <w:pPr>
        <w:widowControl w:val="on"/>
        <w:pBdr/>
        <w:spacing w:before="140" w:after="240" w:line="288" w:lineRule="auto"/>
        <w:ind w:left="0" w:right="0"/>
        <w:jc w:val="left"/>
      </w:pPr>
      <w:r>
        <w:rPr>
          <w:rFonts w:ascii="Arial" w:hAnsi="Arial" w:eastAsia="Arial" w:cs="Arial"/>
          <w:color w:val="000000"/>
          <w:sz w:val="20"/>
          <w:szCs w:val="20"/>
        </w:rPr>
        <w:t xml:space="preserve">Bis zur rechtskräftigen Genehmigung darf der Vertrag nicht
umgesetzt werden. Für den Fall der Unwirksamkeit oder Auflösung
dieses Vertrages wird Folgendes vereinbart:</w:t>
      </w:r>
    </w:p>
    <w:p>
      <w:pPr>
        <w:numPr>
          <w:ilvl w:val="0"/>
          <w:numId w:val="1574904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Allenfalls an die Verkäufer bereits geleistete
Kaufpreisteilbeträge sind der Käuferin unverzüglich
zurückzubezahlen.</w:t>
      </w:r>
    </w:p>
    <w:p>
      <w:pPr>
        <w:numPr>
          <w:ilvl w:val="0"/>
          <w:numId w:val="1574904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Zinsen des Treuhandkontos verbleiben endgültig bei den
Verkäufern.</w:t>
      </w:r>
    </w:p>
    <w:p>
      <w:pPr>
        <w:numPr>
          <w:ilvl w:val="0"/>
          <w:numId w:val="1574904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Vertragserrichtungskosten trägt die Käuferin.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Wohnungseigentum</w:t>
      </w:r>
    </w:p>
    <w:p>
      <w:pPr>
        <w:widowControl w:val="on"/>
        <w:pBdr/>
        <w:spacing w:before="140" w:after="240" w:line="288" w:lineRule="auto"/>
        <w:ind w:left="0" w:right="0"/>
        <w:jc w:val="left"/>
      </w:pPr>
      <w:r>
        <w:rPr>
          <w:rFonts w:ascii="Arial" w:hAnsi="Arial" w:eastAsia="Arial" w:cs="Arial"/>
          <w:color w:val="000000"/>
          <w:sz w:val="20"/>
          <w:szCs w:val="20"/>
        </w:rPr>
        <w:t xml:space="preserve">Den Käufern ist der Inhalt des Wohnungseigentumsvertrages
bekannt. Sie erklären, in sämtliche Rechte und Verbindlichkeiten,
die sich aus dem Verhältnis der Wohnungseigentümer zueinander
ergeben, vollinhaltlich einzutreten.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Immobilienertragsteuer</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nehmen zur Kenntnis, dass der gegenständliche
Rechtsvorgang den Regeln über die Immobilienertragsteuer
unterliegt.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nehmen weiters zur Kenntnis, dass sie sich zur
Berechnung der Immobilienertragsteuer eines Steuerberaters zu
bedienen haben, der sämtliche Informationen und Parameter, die zur
Selbstberechnung der Immobilienertragsteuer erforderlich sind, zu
erheben und dem Vertragsverfasser und Treuhänder zu übermitteln hat
sowie, dass die Richtigkeit dieser Angaben gegenüber dem
Vertragsverfasser zu bestätigen ist.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verpflichten sich dem Vertragsverfasser all diese
Informationen sowie das für sie zuständige Finanzamt sowie ihre
Steuernummer umgehend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 Ausfertigungen</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einer Ausfertigung errichtet, welche bis
zur Verbücherung beim Vertragsverfasser verbleibt und dann der
Käuferin gebührt.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erhalten eine unbeglaubigte Abschrift.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XVII. Allgemeine Bestimmungen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von Rechtsstreitigkeiten aus diesem Kaufvertrag
vereinbaren die Vertragsparteien die ausschließliche Zuständigkeit
des Bezirksgerichts ...</w:t>
      </w:r>
    </w:p>
    <w:p>
      <w:pPr>
        <w:widowControl w:val="on"/>
        <w:pBdr/>
        <w:spacing w:before="140" w:after="240" w:line="288" w:lineRule="auto"/>
        <w:ind w:left="0" w:right="0"/>
        <w:jc w:val="left"/>
      </w:pPr>
      <w:r>
        <w:rPr>
          <w:rFonts w:ascii="Arial" w:hAnsi="Arial" w:eastAsia="Arial" w:cs="Arial"/>
          <w:color w:val="000000"/>
          <w:sz w:val="20"/>
          <w:szCs w:val="20"/>
        </w:rPr>
        <w:t xml:space="preserve">Sämtliche Änderungen oder Zusätze zu diesem Vertrag bedürfen zu
ihrer Rechtswirksamkeit der Schriftform und müssen von beiden
Vertragsparteien unterfertigt sein. Dies gilt auch für die
Vereinbarung, womit von der Schriftform abgegangen werden soll.</w:t>
      </w:r>
    </w:p>
    <w:p>
      <w:pPr>
        <w:widowControl w:val="on"/>
        <w:pBdr/>
        <w:spacing w:before="140" w:after="240" w:line="288" w:lineRule="auto"/>
        <w:ind w:left="0" w:right="0"/>
        <w:jc w:val="left"/>
      </w:pPr>
      <w:r>
        <w:rPr>
          <w:rFonts w:ascii="Arial" w:hAnsi="Arial" w:eastAsia="Arial" w:cs="Arial"/>
          <w:color w:val="000000"/>
          <w:sz w:val="20"/>
          <w:szCs w:val="20"/>
        </w:rPr>
        <w:t xml:space="preserve">Sollen eine oder mehrere in diesem Vertrag enthaltenen
Bestimmungen nichtig oder unwirksam sein oder ihre Wirksamkeit
durch spätere Umstände verlieren, oder eine von beiden Parteien
einvernehmlich festgestellte Vertragslücke bestehen, so wird
hierdurch die Gültigkeit der übrigen Bestimmungen nicht berührt.
Die Vertragsparteien verpflichten sich für diesen Fall, den Vertrag
durch eine dem rechtlichen und wirtschaftlichen Zweck der
ungültigen oder unvollständigen Vertragsbestimmung entsprechend
wirksame zu ergänzen.</w:t>
      </w:r>
    </w:p>
    <w:p>
      <w:pPr>
        <w:widowControl w:val="on"/>
        <w:pBdr/>
        <w:spacing w:before="140" w:after="240" w:line="288" w:lineRule="auto"/>
        <w:ind w:left="0" w:right="0"/>
        <w:jc w:val="left"/>
      </w:pPr>
      <w:r>
        <w:rPr>
          <w:rFonts w:ascii="Arial" w:hAnsi="Arial" w:eastAsia="Arial" w:cs="Arial"/>
          <w:color w:val="000000"/>
          <w:sz w:val="20"/>
          <w:szCs w:val="20"/>
        </w:rPr>
        <w:t xml:space="preserve">St. Pölten,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4824483" w:name="note1"/>
            <w:bookmarkEnd w:id="94824483"/>
            <w:bookmarkStart w:id="5690671464981" w:name="note1"/>
            <w:r>
              <w:rPr>
                <w:rFonts w:ascii="Arial" w:hAnsi="Arial" w:eastAsia="Arial" w:cs="Arial"/>
                <w:b/>
                <w:bCs/>
                <w:color w:val="000000"/>
                <w:position w:val="0"/>
                <w:sz w:val="20"/>
                <w:szCs w:val="20"/>
              </w:rPr>
              <w:t xml:space="preserve">[1]</w:t>
            </w:r>
            <w:bookmarkEnd w:id="569067146498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Vertrag ist festzuhalten, wer für die Kosten der Errichtung
der Vertragsurkunde, die Beglaubigungskosten sowie die
Grunderwerbsteuer (3,5 % des Kaufpreises) an das Finanzamt und
die Eintragungsgebühr (1,1 % des Kaufpreises) beim
Grundbuchsgericht aufzukommen hat. Für die Kosten der Errichtung
der Vertragsurkunde durch einen Parteienvertreter, wie Rechtsanwalt
oder Notar, haften grundsätzlich alle Personen, die ihn mit der
Vertragserrichtung beauftragt haben oder mit deren Einverständnis
das Rechtsgeschäft errichtet, beurkundet oder beglaubigt worden
ist. Bei mehreren Zahlungspflichtigen tragen alle die Haftung zur
ungeteilten Hand. Steuerschuldner der Grunderwerbsteuer sind
gem § 9 GrEStG alle am Erwerbsvorgang beteiligten
Personen. Aus diesen Gründen ist eine eindeutige vertragliche
Regelung der Kostentragung der Vertragsparteien im Innenverhältnis
geboten. Fehlt eine solche vertragliche Regelung, hat nach der
Verkehrssitte der Käufer die Kosten für die Vertragserrichtung, die
Vermessung, die Anzeige an das Finanzamt und Kosten der sonstigen
Abwicklung sowie die mit dem Erwerb verbundenen öffentlichen
Steuern und Abgaben zu bestreiten. Der Verkäufer hat dem gegenüber
die Kosten der Lastenfreistellung des Kaufobjektes allein zu
tragen.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3384871" w:name="note2"/>
            <w:bookmarkEnd w:id="63384871"/>
            <w:bookmarkStart w:id="6580132253734" w:name="note2"/>
            <w:r>
              <w:rPr>
                <w:rFonts w:ascii="Arial" w:hAnsi="Arial" w:eastAsia="Arial" w:cs="Arial"/>
                <w:b/>
                <w:bCs/>
                <w:color w:val="000000"/>
                <w:position w:val="0"/>
                <w:sz w:val="20"/>
                <w:szCs w:val="20"/>
              </w:rPr>
              <w:t xml:space="preserve">[2]</w:t>
            </w:r>
            <w:bookmarkEnd w:id="658013225373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den Regeln des GBG hat jede Privaturkunde eine
ausdrückliche Erklärung desjenigen zu enthalten, dessen Rechte
beschränkt, belastet, aufgehoben oder auf eine andere Person
übertragen werden. Es ist daher in der Vertragsurkunde eine
ausdrückliche Erklärung (Aufsandungserklärung) des Verkäufers
aufzunehmen, womit er der Einverleibung des Eigentumsrechts des
Käufers zustimmt. Fehlt diese Aufsandungserklärung, kann vom
Grundbuchsgericht nur die Vormerkung des Eigentums, nicht aber
bereits die Einverleibung bewilligt werden. Die Vormerkung sichert
dem Käufer den Rang im Grundbuch, sie bewirkt einen bedingten
Eigentumserwerb, sodass die Rechtswirkungen des Eigentumserwerbs
erst eintreten, wenn die fehlende Aufsandungserklärung vorliegt und
dem Gericht nachgereicht wird. Es empfiehlt sich, die
Aufsandungserklärung bereits in die Vertragsurkunde aufzunehmen, um
die Entstehung weiterer Kosten zu vermeiden.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51954" w:name="note3"/>
            <w:bookmarkEnd w:id="1051954"/>
            <w:bookmarkStart w:id="4948678903382" w:name="note3"/>
            <w:r>
              <w:rPr>
                <w:rFonts w:ascii="Arial" w:hAnsi="Arial" w:eastAsia="Arial" w:cs="Arial"/>
                <w:b/>
                <w:bCs/>
                <w:color w:val="000000"/>
                <w:position w:val="0"/>
                <w:sz w:val="20"/>
                <w:szCs w:val="20"/>
              </w:rPr>
              <w:t xml:space="preserve">[3]</w:t>
            </w:r>
            <w:bookmarkEnd w:id="494867890338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Erwerb von Grundstücken durch Ausländer bedarf zur
Vermeidung der Überfremdung des Eigentums an Grund und Boden einer
Genehmigung der Ausländergrundverkehrsbehörde. Dafür ist die im
land- und forstwirtschaftlichen Grundverkehr zuständige Behörde
zweiter Instanz als Ausländergrundverkehrsbehörde bei der
Landesregierung zu erteilen. Eine Genehmigung für Ausländer ist
regelmäßig dann zu erteilen, wenn ihr nicht wichtige kulturelle,
landwirtschaftliche, sozialpolitische oder sonstige öffentliche
Interessen entgegenstehen.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2407215" w:name="note4"/>
            <w:bookmarkEnd w:id="22407215"/>
            <w:bookmarkStart w:id="7968745476068" w:name="note4"/>
            <w:r>
              <w:rPr>
                <w:rFonts w:ascii="Arial" w:hAnsi="Arial" w:eastAsia="Arial" w:cs="Arial"/>
                <w:b/>
                <w:bCs/>
                <w:color w:val="000000"/>
                <w:position w:val="0"/>
                <w:sz w:val="20"/>
                <w:szCs w:val="20"/>
              </w:rPr>
              <w:t xml:space="preserve">[4]</w:t>
            </w:r>
            <w:bookmarkEnd w:id="796874547606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den Käufer besteht das Interesse, dass der Verkäufer den von
ihm für den Liegenschaftserwerb geleisteten Kaufpreis bis zur
Sicherstellung der Verbücherung seines Eigentumsrechts treuhändig
verwahrt. Der Verkäufer hat ein Recht darauf, nicht bis zur
Verbücherung seines Eigentums mit der Kaufpreiszahlung des Käufers
warten zu müssen. Um diesen Interessen beider Parteien gerecht zu
werden, können die Vertragsparteien den Vertragsverfasser mit der
Übernahme einer Treuhandschaft beauftragen. Ein Rechtsanwalt oder
Notar schließt mit den Vertragsparteien eine Treuhandvereinbarung
ab, wodurch der zu leistende Kaufpreis vom Käufer treuhändig beim
Vertragsverfasser auf einem Treuhandkonto hinterlegt wird. Dieser
verpflichtet sich, die Weiterleitung des Kaufpreises erst nach
Einverleibung des Eigentumsrechts des Käufers im Grundbuch oder
schon bei Vorlage sämtlicher einverleibungsfähiger Urkunden
vorzunehmen. Die Auszahlung des Treuhanderlages ist
vereinbarungsgemäß mit oder ohne Zinsen unter Abzug der Kosten vom
Treuhänder an den Verkäufer bei Erfüllung der
Auszahlungsbedingungen vorzunehmen.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7155992" w:name="note5"/>
            <w:bookmarkEnd w:id="57155992"/>
            <w:bookmarkStart w:id="4327484536730" w:name="note5"/>
            <w:r>
              <w:rPr>
                <w:rFonts w:ascii="Arial" w:hAnsi="Arial" w:eastAsia="Arial" w:cs="Arial"/>
                <w:b/>
                <w:bCs/>
                <w:color w:val="000000"/>
                <w:position w:val="0"/>
                <w:sz w:val="20"/>
                <w:szCs w:val="20"/>
              </w:rPr>
              <w:t xml:space="preserve">[5]</w:t>
            </w:r>
            <w:bookmarkEnd w:id="432748453673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Übergang von Versicherungen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Bestimmungen der §§ 69, 70 VersVG räumen sowohl dem
Erwerber als auch dem Versicherer ein Kündigungsrecht ein, weil dem
Versicherer der ihm aufgezwungene Versicherungsnehmer bedenklich
erscheinen kann, während der Erwerber der versicherten Sache einen
anderen Versicherer vorziehen will oder möglicherweise keinen
Versicherungsschutz mehr wünscht.</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7387364" w:name="note6"/>
            <w:bookmarkEnd w:id="77387364"/>
            <w:bookmarkStart w:id="2675710938863" w:name="note6"/>
            <w:r>
              <w:rPr>
                <w:rFonts w:ascii="Arial" w:hAnsi="Arial" w:eastAsia="Arial" w:cs="Arial"/>
                <w:b/>
                <w:bCs/>
                <w:color w:val="000000"/>
                <w:position w:val="0"/>
                <w:sz w:val="20"/>
                <w:szCs w:val="20"/>
              </w:rPr>
              <w:t xml:space="preserve">[6]</w:t>
            </w:r>
            <w:bookmarkEnd w:id="267571093886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Ausgenommen von der Vorlageverpflichtung (Energieausweis)
sind</w:t>
            </w:r>
          </w:p>
          <w:p>
            <w:pPr>
              <w:numPr>
                <w:ilvl w:val="0"/>
                <w:numId w:val="3752965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Gebäude, die nur frostfrei gehalten werden</w:t>
            </w:r>
          </w:p>
          <w:p>
            <w:pPr>
              <w:numPr>
                <w:ilvl w:val="0"/>
                <w:numId w:val="3752965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Abbruchobjekten, wenn im Kaufvertrag davon ausgegangen
wird, dass der Käufer innerhalb von drei Jahren nach
Vertragsabschluss das Gebäude abbricht</w:t>
            </w:r>
          </w:p>
          <w:p>
            <w:pPr>
              <w:numPr>
                <w:ilvl w:val="0"/>
                <w:numId w:val="3752965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Gebäude, die überwiegend für Gottesdienste und religiöse Zwecke
genutzt werden</w:t>
            </w:r>
          </w:p>
          <w:p>
            <w:pPr>
              <w:numPr>
                <w:ilvl w:val="0"/>
                <w:numId w:val="3752965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Provisorisch errichtete Gebäude, deren Nutzungsdauer höchstens
auf zwei Jahre ausgelegt ist</w:t>
            </w:r>
          </w:p>
          <w:p>
            <w:pPr>
              <w:numPr>
                <w:ilvl w:val="0"/>
                <w:numId w:val="3752965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Industrieanlagen, Werkstätten, landwirtschaftliche
Nutzgebäude</w:t>
            </w:r>
          </w:p>
          <w:p>
            <w:pPr>
              <w:numPr>
                <w:ilvl w:val="0"/>
                <w:numId w:val="3752965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„Beheizung“ überwiegend durch im Gebäude entstehende
Abwärme erfolgt</w:t>
            </w:r>
          </w:p>
          <w:p>
            <w:pPr>
              <w:numPr>
                <w:ilvl w:val="0"/>
                <w:numId w:val="3752965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„Ferienwohnungen“, wenn der voraussichtliche Energiebedarf
unter einem Viertel im Vergleich zur ganzjährigen Benützung
liegt</w:t>
            </w:r>
          </w:p>
          <w:p>
            <w:pPr>
              <w:numPr>
                <w:ilvl w:val="0"/>
                <w:numId w:val="3752965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Frei stehende Gebäude, deren Gesamtnutzfläche kleiner als 50 m²
ist</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456520" w:name="note7"/>
            <w:bookmarkEnd w:id="6456520"/>
            <w:bookmarkStart w:id="1196884849926" w:name="note7"/>
            <w:r>
              <w:rPr>
                <w:rFonts w:ascii="Arial" w:hAnsi="Arial" w:eastAsia="Arial" w:cs="Arial"/>
                <w:b/>
                <w:bCs/>
                <w:color w:val="000000"/>
                <w:position w:val="0"/>
                <w:sz w:val="20"/>
                <w:szCs w:val="20"/>
              </w:rPr>
              <w:t xml:space="preserve">[7]</w:t>
            </w:r>
            <w:bookmarkEnd w:id="1196884849926"/>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Rechtskraftbestätigung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Genehmigungen von Verwaltungsbehörden, die Voraussetzung einer
bücherlichen Eintragung sind, müssen mit der Bestätigung der
Rechtskraft versehen sein. Gleiches gilt für Bescheide, mit denen
dem Grundbuchsgericht nachzuweisen ist, dass ein zu verbüchernder
Erwerbsvorgang keiner behördlichen Genehmigung – etwa einer
Genehmigung der Grundverkehrsbehörde oder der
Ausländergrundverkehrskommission – bedarf. Eine solche
Rechtskraftbestätigung entzieht sich einer Nachprüfung durch das
Grundbuchsgericht (so schon 5 Ob 1134/94); umgekehrt hat aber auch
das Grundbuchsgericht bei Fehlen einer Rechtskraftbestätigung von
sich aus keine Erwägungen über die Anfechtbarkeit eines
verwaltungsbehördlichen Genehmigungsbescheides anzustellen, weil
das Grundbuchsverfahren keine Möglichkeit für diesbezügliche
Erhebungen bietet; das Grundbuchsgericht hat sich weiters nicht auf
Spekulationen darüber einzulassen, ob ein Bescheid noch durch ein
ordentliches Rechtsmittel angefochten werden kann, sondern muss
eine eigene Erklärung der Behörde über die Rechtskraft verlangen;
eine den Entscheidungsgründen angefügte Rechtsbelehrung über die
gesetzlichen Anfechtungsmöglichkeiten reicht nicht aus (siehe
RIS-Justiz RS0099943).</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136626" w:name="note8"/>
            <w:bookmarkEnd w:id="4136626"/>
            <w:bookmarkStart w:id="8790021850285" w:name="note8"/>
            <w:r>
              <w:rPr>
                <w:rFonts w:ascii="Arial" w:hAnsi="Arial" w:eastAsia="Arial" w:cs="Arial"/>
                <w:b/>
                <w:bCs/>
                <w:color w:val="000000"/>
                <w:position w:val="0"/>
                <w:sz w:val="20"/>
                <w:szCs w:val="20"/>
              </w:rPr>
              <w:t xml:space="preserve">[8]</w:t>
            </w:r>
            <w:bookmarkEnd w:id="879002185028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Betriebskostentragung bei Eigentümerwechsel</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32 Abs 1 WEG sind die Aufwendungen für die
Liegenschaft einschließlich der Beiträge der Rücklage von den
Wohnungseigentümern nach dem Verhältnis ihrer Miteigentumsanteile
bei Ende der Abrechnungsperiode zu tragen. Dies bedeutet, dass für
die bis zur Verbücherung des jeweiligen Eigentumsrechts gelten
gemachten Betriebs- und Heizkosten der bisherige Eigentümer, nach
der Verbücherung der neue Eigentümer zahlungspflichtig ist. Findet
ein Eigentümerwechsel statt ist der Zeitpunkt der Einverleibung im
Grundbuch maßgebend. Dies gilt unabhängig vom Zeitpunkt der
Veräußerung und dem zwischen Veräußerer und Erwerber
(gegebenenfalls) festgelegten Stichtag. Dies betrifft allerdings
nur die Haftung nach außen und nicht die interne
Kostentragungspflicht, da meist andere vertragliche Vereinbarungen
erfolgen. Vorschreibungen richten sich somit an den aktuellen
Eigentümer laut Grundbuch. Der betroffene Wohnungseigentümer wird
sich üblicherweise bei seinem Rechtsvorgänger regressieren
können.</w:t>
            </w:r>
          </w:p>
          <w:p>
            <w:pPr>
              <w:widowControl w:val="on"/>
              <w:pBdr/>
              <w:spacing w:before="0" w:after="0" w:line="288" w:lineRule="auto"/>
              <w:ind w:left="0" w:right="0"/>
              <w:jc w:val="left"/>
              <w:textAlignment w:val="top"/>
            </w:pPr>
            <w:hyperlink w:anchor="link8"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529657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5749049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6640813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7436456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335392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8848570">
    <w:multiLevelType w:val="hybridMultilevel"/>
    <w:lvl w:ilvl="0" w:tplc="12310700">
      <w:start w:val="1"/>
      <w:numFmt w:val="decimal"/>
      <w:lvlText w:val="%1."/>
      <w:lvlJc w:val="left"/>
      <w:pPr>
        <w:ind w:left="720" w:hanging="360"/>
      </w:pPr>
    </w:lvl>
    <w:lvl w:ilvl="1" w:tplc="12310700" w:tentative="1">
      <w:start w:val="1"/>
      <w:numFmt w:val="lowerLetter"/>
      <w:lvlText w:val="%2."/>
      <w:lvlJc w:val="left"/>
      <w:pPr>
        <w:ind w:left="1440" w:hanging="360"/>
      </w:pPr>
    </w:lvl>
    <w:lvl w:ilvl="2" w:tplc="12310700" w:tentative="1">
      <w:start w:val="1"/>
      <w:numFmt w:val="lowerRoman"/>
      <w:lvlText w:val="%3."/>
      <w:lvlJc w:val="right"/>
      <w:pPr>
        <w:ind w:left="2160" w:hanging="180"/>
      </w:pPr>
    </w:lvl>
    <w:lvl w:ilvl="3" w:tplc="12310700" w:tentative="1">
      <w:start w:val="1"/>
      <w:numFmt w:val="decimal"/>
      <w:lvlText w:val="%4."/>
      <w:lvlJc w:val="left"/>
      <w:pPr>
        <w:ind w:left="2880" w:hanging="360"/>
      </w:pPr>
    </w:lvl>
    <w:lvl w:ilvl="4" w:tplc="12310700" w:tentative="1">
      <w:start w:val="1"/>
      <w:numFmt w:val="lowerLetter"/>
      <w:lvlText w:val="%5."/>
      <w:lvlJc w:val="left"/>
      <w:pPr>
        <w:ind w:left="3600" w:hanging="360"/>
      </w:pPr>
    </w:lvl>
    <w:lvl w:ilvl="5" w:tplc="12310700" w:tentative="1">
      <w:start w:val="1"/>
      <w:numFmt w:val="lowerRoman"/>
      <w:lvlText w:val="%6."/>
      <w:lvlJc w:val="right"/>
      <w:pPr>
        <w:ind w:left="4320" w:hanging="180"/>
      </w:pPr>
    </w:lvl>
    <w:lvl w:ilvl="6" w:tplc="12310700" w:tentative="1">
      <w:start w:val="1"/>
      <w:numFmt w:val="decimal"/>
      <w:lvlText w:val="%7."/>
      <w:lvlJc w:val="left"/>
      <w:pPr>
        <w:ind w:left="5040" w:hanging="360"/>
      </w:pPr>
    </w:lvl>
    <w:lvl w:ilvl="7" w:tplc="12310700" w:tentative="1">
      <w:start w:val="1"/>
      <w:numFmt w:val="lowerLetter"/>
      <w:lvlText w:val="%8."/>
      <w:lvlJc w:val="left"/>
      <w:pPr>
        <w:ind w:left="5760" w:hanging="360"/>
      </w:pPr>
    </w:lvl>
    <w:lvl w:ilvl="8" w:tplc="12310700" w:tentative="1">
      <w:start w:val="1"/>
      <w:numFmt w:val="lowerRoman"/>
      <w:lvlText w:val="%9."/>
      <w:lvlJc w:val="right"/>
      <w:pPr>
        <w:ind w:left="6480" w:hanging="180"/>
      </w:pPr>
    </w:lvl>
  </w:abstractNum>
  <w:abstractNum w:abstractNumId="78848569">
    <w:multiLevelType w:val="hybridMultilevel"/>
    <w:lvl w:ilvl="0" w:tplc="554064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848569">
    <w:abstractNumId w:val="78848569"/>
  </w:num>
  <w:num w:numId="78848570">
    <w:abstractNumId w:val="78848570"/>
  </w:num>
  <w:num w:numId="43353920">
    <w:abstractNumId w:val="43353920"/>
  </w:num>
  <w:num w:numId="574364561">
    <w:abstractNumId w:val="574364561"/>
  </w:num>
  <w:num w:numId="866408136">
    <w:abstractNumId w:val="866408136"/>
  </w:num>
  <w:num w:numId="157490495">
    <w:abstractNumId w:val="157490495"/>
  </w:num>
  <w:num w:numId="375296573">
    <w:abstractNumId w:val="3752965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15870917" Type="http://schemas.openxmlformats.org/officeDocument/2006/relationships/numbering" Target="numbering.xml"/><Relationship Id="rId92471630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