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0331078" w:name="document"/>
    <w:bookmarkEnd w:id="10331078"/>
    <w:p/>
    <w:p>
      <w:pPr>
        <w:widowControl w:val="on"/>
        <w:pBdr/>
        <w:spacing w:before="0" w:after="280" w:line="240" w:lineRule="auto"/>
        <w:ind w:left="0" w:right="0"/>
        <w:jc w:val="left"/>
      </w:pPr>
      <w:r>
        <w:rPr>
          <w:rFonts w:ascii="Arial" w:hAnsi="Arial" w:eastAsia="Arial" w:cs="Arial"/>
          <w:color w:val="363A40"/>
          <w:sz w:val="24"/>
          <w:szCs w:val="24"/>
        </w:rPr>
        <w:t xml:space="preserve">Dokument-ID: 627715 | Markus Bulgarini - Karin
Zahiragic - FORUM Media (red)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Vertragsmuster</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Kompromiss-Vertragsmuster für einen Mietvertrag über ein
Geschäftslokal (Vertragsabschluss nach 01.01.1994) – kein
KSchG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Mietvertrag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untenstehenden Tag zwischen</w:t>
      </w:r>
    </w:p>
    <w:p>
      <w:pPr>
        <w:widowControl w:val="on"/>
        <w:pBdr/>
        <w:spacing w:before="140" w:after="240" w:line="288" w:lineRule="auto"/>
        <w:ind w:left="0" w:right="0"/>
        <w:jc w:val="left"/>
      </w:pPr>
      <w:r>
        <w:rPr>
          <w:rFonts w:ascii="Arial" w:hAnsi="Arial" w:eastAsia="Arial" w:cs="Arial"/>
          <w:color w:val="000000"/>
          <w:sz w:val="20"/>
          <w:szCs w:val="20"/>
        </w:rPr>
        <w:t xml:space="preserve">1. …</w:t>
      </w:r>
      <w:r>
        <w:rPr>
          <w:rFonts w:ascii="Arial" w:hAnsi="Arial" w:eastAsia="Arial" w:cs="Arial"/>
          <w:color w:val="000000"/>
          <w:sz w:val="20"/>
          <w:szCs w:val="20"/>
        </w:rPr>
        <w:br/>
        <w:t xml:space="preserve">[Firma, Firmenbuchnummer],</w:t>
      </w:r>
      <w:r>
        <w:rPr>
          <w:rFonts w:ascii="Arial" w:hAnsi="Arial" w:eastAsia="Arial" w:cs="Arial"/>
          <w:color w:val="000000"/>
          <w:sz w:val="20"/>
          <w:szCs w:val="20"/>
        </w:rPr>
        <w:br/>
        <w:t xml:space="preserve">vertreten durch … als Geschäftsführer, geboren am …, …
[Adresse]</w:t>
      </w:r>
      <w:r>
        <w:rPr>
          <w:rFonts w:ascii="Arial" w:hAnsi="Arial" w:eastAsia="Arial" w:cs="Arial"/>
          <w:color w:val="000000"/>
          <w:sz w:val="20"/>
          <w:szCs w:val="20"/>
        </w:rPr>
        <w:br/>
        <w:t xml:space="preserve">im Folgenden kurz </w:t>
      </w:r>
      <w:r>
        <w:rPr>
          <w:rFonts w:ascii="Arial" w:hAnsi="Arial" w:eastAsia="Arial" w:cs="Arial"/>
          <w:b/>
          <w:bCs/>
          <w:color w:val="000000"/>
          <w:sz w:val="20"/>
          <w:szCs w:val="20"/>
        </w:rPr>
        <w:t xml:space="preserve">„Mieter“</w:t>
      </w:r>
      <w:r>
        <w:rPr>
          <w:rFonts w:ascii="Arial" w:hAnsi="Arial" w:eastAsia="Arial" w:cs="Arial"/>
          <w:color w:val="000000"/>
          <w:sz w:val="20"/>
          <w:szCs w:val="20"/>
        </w:rPr>
        <w:t xml:space="preserve"> genannt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2. …</w:t>
      </w:r>
      <w:r>
        <w:rPr>
          <w:rFonts w:ascii="Arial" w:hAnsi="Arial" w:eastAsia="Arial" w:cs="Arial"/>
          <w:color w:val="000000"/>
          <w:sz w:val="20"/>
          <w:szCs w:val="20"/>
        </w:rPr>
        <w:br/>
        <w:t xml:space="preserve">[Vor- und Zuname, Adresse]</w:t>
      </w:r>
      <w:r>
        <w:rPr>
          <w:rFonts w:ascii="Arial" w:hAnsi="Arial" w:eastAsia="Arial" w:cs="Arial"/>
          <w:color w:val="000000"/>
          <w:sz w:val="20"/>
          <w:szCs w:val="20"/>
        </w:rPr>
        <w:br/>
        <w:t xml:space="preserve">im Folgenden kurz </w:t>
      </w:r>
      <w:r>
        <w:rPr>
          <w:rFonts w:ascii="Arial" w:hAnsi="Arial" w:eastAsia="Arial" w:cs="Arial"/>
          <w:b/>
          <w:bCs/>
          <w:color w:val="000000"/>
          <w:sz w:val="20"/>
          <w:szCs w:val="20"/>
        </w:rPr>
        <w:t xml:space="preserve">„Vermieter“</w:t>
      </w:r>
      <w:r>
        <w:rPr>
          <w:rFonts w:ascii="Arial" w:hAnsi="Arial" w:eastAsia="Arial" w:cs="Arial"/>
          <w:color w:val="000000"/>
          <w:sz w:val="20"/>
          <w:szCs w:val="20"/>
        </w:rPr>
        <w:t xml:space="preserve"> genannt
andererseits</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Mietgegenstand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Beschreibung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ist Eigentümer der Liegenschaft EZ … Grundbuch der
Katastralgemeinde … mit der Anschrift … [genaue Anschrift]. Es
befinden sich in diesem Haus zwei selbstständige Wohnungen und drei
Geschäftsräume.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vermietet und der Mieter mietet die im obigen Haus
im … (Stockwerk) gelegenen Geschäftsräume (oder Büroräume)
Tür/Top/Stiege …, die in diesem Vertrag ausdrücklich erwähnt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Vermietet ist nur der Innenraum des Mietgegenstandes. Der
Mietgegenstand wurde vom Mieter besichtigt.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Nutzfläche beträgt ca … m² [Angabe der
Quadratmeterzahl].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Eignung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dass der Mietgegenstand für den
beabsichtigten Mietzweck geeignet ist und sich in gutem baulichen
Zustand befindet.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Beschaffung allfälliger verwaltungsbehördlicher
Bewilligungen für diese Nutzung obliegt dem Mieter, dem im Fall
ihrer Nichterlangung keine wie immer gearteten Ansprüche gegen den
Vermieter zustehen, soweit sich die Bewilligung nicht auf den
Vermieter nach § 3 MRG zwingend treffende Erhaltungsmaßnahmen
bezieht.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Mietdauer</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Bei diesem Typ ist bei Verträgen, die nach dem 30.06.2000
geschlossen werden, jede beliebige Befristung rechtswirksam
(§ 29 Abs 1 Z 3 lit a MRG). Der Befristung wird
damit weder eine Ober- noch eine Untergrenze gesetzt. Die
Befristung ist allerdings nur rechtswirksam, wenn sie schriftlich
erfolgt.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Befristetes Mietverhältnis ohne Kündigungsrecht</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Das Mietverhältnis beginnt am … [Datum] und wird auf … [Anzahl
der Jahre] Jahre abgeschlossen. Es endet daher, ohne dass es einer
Aufkündigung bedürfte, am … [Datum].</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Das Mietverhältnis kann jedoch einvernehmlich zeitlich unbegrenzt
und beliebig oft schriftlich verlängert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Nach dem Ablauf der Mietdauer darf keinesfalls Zins vorgeschrieben
werden, sondern es muss binnen 14 Tagen ab dem letzten Tag des
Mietverhältnisses bereits die Räumungsklage eingebracht werden.
Erfolgt dies nicht, so entsteht durch die widerspruchslose
Entgegennahme des Mietzinses stillschweigend ein unbefristetes
Mietverhältnis (§ 29 Abs 3 MRG). Allerdings kann der
Vermieter schon vor Ablauf der Mietdauer einen Übergabeauftrag beim
zuständigen Bezirksgericht beantragen. Entnimmt man aus Äußerungen
des Mieters, dass er das Mietobjekt nicht freiwillig räumen wird,
könnte man bereits ab diesem Zeitpunkt – also lange vor Ablauf der
Mietdauer – mit dem Übergabeauftrag einen gerichtlichen
Exekutionstitel (Räumungstitel) erwirken (§ 567 ZPO –
Antragstellung frühestens 6 Monate vor Vertragsende).</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2: Unbefristetes Mietverhältnis</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Das Mietverhältnis beginnt am … [Datum] und wird auf unbestimmte
Zeit abgeschlossen.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Das Mietverhältnis kann von den Vertragsteilen unter Einhaltung
einer einmonatigen/vierteljährigen/halbjährigen Kündigungsfrist auf
den letzten Tag eines jeden Monats/Kalendervierteljahres (31. März,
30. Juni, 30. September, 31. Dezember)/Kalenderjahres gerichtlich
aufgekündigt werden, vom Mieter jedoch auch außergerichtlich und
schriftlich.</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Die Vereinbarung der Kündigungsfrist steht den Vertragsparteien
frei.</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Mietobjekte, die dem MRG ganz oder teilweise unterliegen, können
entweder einvernehmlich aufgelöst (Zustimmung aller Parteien) oder
ansonsten auch vom Mieter gerichtlich als auch außergerichtlich
schriftlich aufgekündigt werden, vom Vermieter jedoch nur
gerichtlich.</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Die Vereinbarung einer längeren Kündigungsfrist kann im Interesse
ausreichender Zeit für die Nachmietersuche bzw die Suche nach einem
Ersatzobjekt interessant sein. Aufgrund der Beschränkung der
Kündigungsgründe des Vermieters durch § 30 MRG begünstigt eine
längere Kündigungsfrist den Vermieter.</w:t>
            </w:r>
          </w:p>
        </w:tc>
      </w:tr>
    </w:tbl>
    <w:p>
      <w:pPr>
        <w:widowControl w:val="on"/>
        <w:pBdr/>
        <w:spacing w:before="140" w:after="240" w:line="288" w:lineRule="auto"/>
        <w:ind w:left="0" w:right="0"/>
        <w:jc w:val="left"/>
      </w:pPr>
      <w:r>
        <w:rPr>
          <w:rFonts w:ascii="Arial" w:hAnsi="Arial" w:eastAsia="Arial" w:cs="Arial"/>
          <w:color w:val="277DB9"/>
          <w:sz w:val="20"/>
          <w:szCs w:val="20"/>
        </w:rPr>
        <w:t xml:space="preserve">Fakultativ</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Der Mieter/der Vermieter verzichtet jedoch innerhalb der ersten
… Jahre, gerechnet ab Beginn des Mietverhältnisses, auf die
Ausübung des Kündigungsrechts.</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Damit wird eine Mindestbindung des Mieters oder des Vermieters
erzielt. Die Vereinbarung des Kündigungsverzichts ist unbeschränkt
wirksam.</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Mietzins</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Nach § 16 Abs 1 MRG ist der höchstzulässige Mietzins der
Größe, Art, Beschaffenheit, Lage, Ausstattungs- und
Erhaltungszustand angemessene Betrag.</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Die Betriebskostenbestimmungen des §§ 21 ff MRG finden
uneingeschränkt Anwendung.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Mietzins setzt sich aus dem Hauptmietzins, den
Bewirtschaftungskosten und den jeweils die Liegenschaft
betreffenden Steuern, Gebühren und öffentlichen Abgaben
zusammen.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Hauptmietzins beträgt monatlich EUR … [Betrag]
zuzüglich Umsatzsteuer.</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Befristetes Mietverhältnis</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Gem § 16 Abs 7 MRG wird für die Dauer der Befristung
ein um 25 % reduzierter Hauptmietzins, das sind EUR …
[Betrag] vereinbart. Der Hauptmietzins ohne Befristungsabschlag
beträgt EUR … [Betrag].</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Beim befristeten Mietverhältnis ist für den Vermieter wichtig, dass
der Hauptmietzins und der während der Dauer des Bestehens eines
befristeten Mietvertrages vereinbarte, um 25 % reduzierte
Mietzins ziffernmäßig gegenübergestellt werden; nur dann kann im
Fall einer späteren Umwandlung in ein unbefristetes
Hauptmietverhältnis auch der volle Hauptmietzins verlangt
werden.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Mietzins ist wie folgt wertgesichert vereinbart: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Als Wertmaßstab dient der von der Bundesanstalt Statistik
Austria monatlich verlautbarte Index der Verbraucherpreise 2015.
Schwankungen der Indexzahlen nach oben oder unten sind jedes Mal zu
berücksichtigen, sobald sie das Ausmaß von 5 % erreichen.
Dieser 5%ige Spielraum ist erstmals auf der Basis jener Indexzahl,
welche für den Monat … [Angabe des Monats] Geltung hat, zu
berechnen. Der nach jeder 5%igen Indexänderung neu errechnete
Mietzins ist in der gleichen Höhe solange zu entrichten, bis eine
weitere Indexveränderung von mindestens 5 % eintritt.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Normalerweise wird die Indexzahl des Monats des Vertragsabschlusses
gewählt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 den vom Mieter zu ersetzenden Betriebskosten, öffentlichen
Abgaben und besonderen Aufwendungen für Gemeinschaftsanlagen
gehören alle jene Kosten, die gem §§ 21 bis 24 MRG
zulässigerweise auf den Mieter überwälzt werden können.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ist berechtigt, zur Deckung aller
Bewirtschaftungskosten eine monatliche
Bewirtschaftungskostenpauschale gegen eine Jahresendabrechnung
entsprechend § 21 Abs 3 MRG einzuheben. Der Anteil des
Mieters an den Betriebskosten und sonstigen Bewirtschaftungskosten
bestimmt sich in Anwendung des § 17 MRG.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im Sinne einer gerechten Aufteilung auflaufender
Kosten berechtigt, am Betrieb der vorhandenen Gemeinschaftsanlagen
teilzunehmen.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ausdrücklich damit einverstanden, dass im Rahmen
der Verwaltung des Hauses über die Betriebskosten die Prämien für
Brandschadenversicherung samt Zuschlägen, die den Einwand der
Unterversicherung im Schadensfall ausschließen,
Haftpflichtversicherung, Leitungswasserversicherung einschließlich
Korrosionsschäden sowie Versicherungen gegen Glasbruch und
Sturmschaden in der jeweils vorgeschriebenen Höhe abgedeckt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Gesamtmietzins ist bargeldlos zahlbar am Fünften eines jeden
Monats im Voraus auf ein vom Vermieter bekannt zu gebendes Konto zu
überweisen, wobei die valutagerechte Gutschrift am Fünften des
Monats durch einen geeigneten Dauerauftrag von einem Bankkonto
zugunsten des Vermieters sicherzustellen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Kommt aufgrund des Mietgegenstandes das MRG zur Anwendung, ist der
Mietzins am Fünften des Kalendermonats zu entrichten, sofern kein
späterer Zahlungstermin vereinbart ist (§ 15 Abs 3 MRG).
Es darf kein früherer Zahlungstermin vereinbart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Wird der Mietzins durch Banküberweisung entrichtet, so hat der
Mieter dafür Sorge zu tragen, dass der geschuldete Betrag am
Fälligkeitstag bereits auf dem Konto des Vermieters wertgestellt
ist. Der Vermieter trägt die Gefahr für die Verzögerung und das
Unterbleiben der Gutschrift, sofern die Ursache dafür nicht beim
Bankinstitut liegt.</w:t>
            </w:r>
            <w:r>
              <w:rPr>
                <w:rFonts w:ascii="Arial" w:hAnsi="Arial" w:eastAsia="Arial" w:cs="Arial"/>
                <w:color w:val="000000"/>
                <w:position w:val="0"/>
                <w:sz w:val="20"/>
                <w:szCs w:val="20"/>
                <w:shd w:val="clear" w:color="auto" w:fill="FFFFFF"/>
              </w:rPr>
              <w:br/>
              <w:t xml:space="preserve">Diese Bestimmung ist auf Verträge anzuwenden, die ab dem 16. März
2013 begründet wurden. Für Verträge, die vor dem 16. März 2013
begründet wurden, sind die bisherigen Bestimmungen weiter
anzuwenden; wenn solche früher begründeten Verträge jedoch
wiederholte Geldleistungen vorsehen, gelten die neuen Bestimmungen
für diejenigen Zahlungen, die ab dem 16. März 2013 fällig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3.10</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Aufrechnung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wird vereinbart, dass der Mieter gegenüber dem Vermieter
vermeintliche oder tatsächlich bestehende Gegenforderungen nicht
mit dem Mietzins, den Betriebskosten oder sonstigen dem Vermieter
zustehenden Ansprüchen aufrechnen darf (Kompensationsverbot), es
sei denn, Gegenforderungen sind vom Vermieter schriftlich anerkannt
oder rechtskräftig festgestellt worden.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Aufgrund dieser Regelung muss vorerst Zahlung geleistet werden,
auch wenn sich im Nachhinein herausstellt, dass ein berechtigter
Einwand erhoben wurde.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Mietzinsminderung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aus zeitweiligen Störungen der Wasser-,
Strom- und Gaszufuhr, Gebrechen an der Lichtleitung, Störungen im
Betrieb der Aufzüge, der Zentralheizungs- und Kühlanlage und
ähnlichen Störungen und Gebrechen gegenüber dem Vermieter keine
Rechtsfolgen abzuleiten, sofern der Vermieter solche Störungen
nicht verschuldet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Kaution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übergibt dem Vermieter bei Abschluss dieses
Mietvertrags als Kaution einen Geldbetrag in Höhe von EUR …
[Betrag]/ein Überbringersparbuch über EUR … [Betrag], das
nicht durch ein Losungswort gesichert oder in anderer Weise in
seiner Verwertbarkeit beschränkt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Rechtsprechung ist im Vollanwendungsbereich grundsätzlich
eine Kaution in Höhe von sechs Bruttomonatsmieten zulässig; eine
höhere Kaution bedarf eines besonderen Sicherstellungsinteresses.
Sollte ein solches bestehen, sollte dieses auch unbedingt im
Mietvertrag als Grund für eine höhere Kaution festgehalten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Veranlagung und Verzinsung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einer Barkaution wird der Vermieter nach seiner Wahl
dieses Bargeld entweder auf einem Sparbuch oder
Sparkonto/Festgeldkonto in Form eines Anderkontos veranlagen, wobei
das Sparbuch bzw das Anderkonto zum Zeitpunkt der Veranlagung und
im Hinblick auf die angesichts der Mietdauer mögliche Bindung
branchenübliche Zinsen zu bieten hat. Vorbehaltlich
Gegenforderungen wird der Vermieter dem Mieter nach Rückstellung
des Mietgegenstands die Kaution zuzüglich Zinsen abzüglich
Veranlagungskosten ausfolgen.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Ergänzungspflicht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berechtigter Inanspruchnahme der Kaution aus dem Titel
fälliger Forderungen durch den Vermieter ist der Mieter
verpflichtet, die Kaution wieder auf die letztgültige volle Höhe zu
ergänzen.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Verwendungszweck</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Kaution dient zur Sicherstellung für sämtliche Forderungen
des Vermieters gegen den Mieter aus dem Mietverhältnis,
insbesondere wegen Zinsausfällen betreffend das gegenständliche
Mietobjekt, welcher Art auch immer (einschließlich anteiliger
Betriebskosten), Abnützung, Beschädigung, Devastierung des
Mietgegenstandes, Entfernung oder Vernichtung von Inventar und
Beschädigungen anderer Teile des Hauses, jeweils durch den Mieter
oder seine Leute gem § 1111 ABGB. Die Kaution gilt daher
auch zur Absicherung des Vermieters für eine ordnungsgemäße
Rückgabe des Mietgegenstandes nach Ablauf der Mietzeit.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Zurückstellung wird – sofern keine Beschädigungen am
Mietobjekt bestehen – unverzüglich nach Rückstellung des
Mietobjekts fällig. Sollten hingegen Beschädigungen am
Bestandobjekt bestehen, wird die Rückzahlung der Kaution erst nach
einer angemessenen Frist zur Feststellung der Kosten der Behebung
dieser Beschädigungen fällig.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Übergabe/Übernahme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Abschluss dieses Mietvertrages mietet der Mieter das in
Punkt 1 genannte Mietobjekt.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 bestätigt gleichzeitig, dass sich der Mietgegenstand seiner
Ansicht nach bei Übergabe in einem sehr guten und brauchbaren
Zustand befunden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Instandhaltung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verpflichtet, alles für die Erhaltung des guten
Zustandes des Inneren des Mietobjektes zu unternehmen, und
verpflichtet sich zum Ersatz jedes Schadens, der dem Vermieter aus
unsachgemäßer Behandlung des Mietobjektes durch ihn und seine Leute
(§ 1111 ABGB) entsteht. Die Erhaltungspflicht des Mieters
umfasst jedoch nicht solche Arbeiten, die zur Behebung von ernsten
Schäden des Hauses, zur Beseitigung einer vom Mietgegenstand
ausgehenden erheblichen Gesundheitsgefährdung (§ 3 Abs 2
Z 2 MRG) oder zur Erhaltung der mitvermieteten Heiztherme und
den mitvermieteten Warmwasserboiler erforderlich sind.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 gilt auch für zufällig im Mietobjekt aufgetretene Schäden.
Alle derartigen Schäden sind bei Gefahr im Verzug sofort, ansonsten
jedenfalls binnen eines Monats zu beheben.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hat allfällige Schäden am Mietobjekt, an den
allgemeinen Teilen des Hauses und den allgemeinen Einrichtungen
ohne Verzug dem Vermieter zu melden.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Schäden, die infolge nicht umgehender Anzeige entstanden
sind, haftet der Mieter, sofern eine rechtzeitige Anzeige den
Schaden geringer gehalten hätte und ihn an der verspäteten Anzeige
ein Verschulden trifft.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Verlegung zusätzlicher Energie- und Nachrichtenleitungen und
anderer technischer Einrichtungen im Inneren des Mietgegenstandes
und auch in den allgemeinen Teilen des Hauses ist, sofern solche
Installationen nicht vom Gesetz ausdrücklich erlaubt sind, nur mit
schriftlicher Zustimmung des Vermieters statthaft. Leitungen sind
unter Putz zu verlegen.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Grundsätzlich kann es einem Mieter im ortsüblichen Ausmaß nicht
untersagt werden, solche Leitungen zu verlegen, allerdings wird die
Formulierung zur beträchtlichen Einschränkung derartiger Vorhaben
dienlich sein.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Derartige Installationen dürfen – vorbehaltlich des § 9 MRG
– nur bei sonstiger Verpflichtung des Mieters zur Wiederherstellung
des vorigen Zustandes nach den entsprechenden technischen
Vorschriften und nur durch dazu befugte Professionisten ausgeführt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Mieter ist es ausdrücklich untersagt, Geräte aller Art zu
installieren, welche nicht den zum jeweiligen Zeitpunkt gültigen
Sicherheitsvorschriften entsprechen. Insbesondere dürfen Strom- und
Gasgeräte nicht angeschlossen werden, welche nicht den
österreichischen Sicherheitsstandards entsprechen (ÖVE udgl).</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Benützung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Mietgegenstand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Vermietet ist nur der Innenraum des Bestandobjektes wie im
beigeschlossenen Lageplan (Beilage./A) rot eingezeichnet. Die
gemeinsamen Gänge, Stiegen, die Passagen sowie die Außenflächen des
Hauses sind nicht mitvermietet.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Mietgegenstand darf zu Geschäftszwecken verwendet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Umbauarbeiten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Ausbesserungen oder bauliche
Änderungen vorzunehmen, sofern diese im Einklang mit den
öffentlich-rechtlichen Bestimmungen stehen. Der Mieter hat eine von
ihm beabsichtigte wesentliche Veränderung (Verbesserung) des
Mietgegenstandes dem Vermieter anzuzeigen. Lehnt der Vermieter
nicht innerhalb von zwei Monaten nach Zugang der Anzeige die
beabsichtigte Veränderung ab, so gilt seine Zustimmung als
erteilt.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Instandhaltung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hat nützliche Verbesserungen des Hauses bzw seines
Mietgegenstandes durchzuführen, soweit dies im Hinblick auf den
allgemeinen Erhaltungszustand des Hauses zweckmäßig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verpflichtet, dem Vermieter die Durchführung von
Verbesserungsarbeiten innerhalb des Mietgegenstandes zu gestatten.
Sämtliche Verbesserungsarbeiten, die ein Mieter hienach zuzulassen
hat, sind so durchzuführen, dass eine möglichste Schonung des
Mietrechts des betroffenen Mieters gewährleistet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Einschränkungen bei der Benützung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Jegliche Tierhaltung ist nur mit schriftlicher Bewilligung des
Vermieters gestattet. Untersagt ist das Abstellen von Fahrzeugen
jeder Art im Mietobjekt und in den allgemeinen Teilen des Hauses
und der Liegenschaft, außer auf den hiefür gesondert bezeichneten
Stellplätzen.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Wird der Mieter im Genuss der Mietrechte gestört, ist er
berechtigt, seine Ansprüche gegen den Störer selbst unmittelbar
klagsweise durchzusetzen.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Hausordnung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nimmt die Hausordnung zustimmend zur Kenntnis.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Zutritt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verpflichtet, dem Vermieter oder einem von ihm
Beauftragten, jedenfalls auch Angehörigen der vom Vermieter
allenfalls beauftragten Hausverwaltung, aus wichtigen Gründen bei
Gefahr in Verzug jederzeit, ansonsten gegen schriftliche
Verständigung das Betreten des Mietgegenstandes zu ermöglichen,
dasselbe gilt für Personen, die im Mietgegenstand ihren beruflichen
Verpflichtungen nachkommen müssen (Rauchfangkehrer oder andere
Handwerker).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7.10</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Hinweistafeln und Empfangsanlagen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in ortsüblicher Weise und im
Einvernehmen mit dem Vermieter Schilder, Firmentafeln und
Reklametafeln sowie Rundfunk- und Satellitenempfangsanlagen am
Mietgegenstand anzubringen.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8. Rückgabe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der Beendigung des Mietverhältnisses hat der Mieter den
Mietgegenstand dem Vermieter in gutem Zustand und geräumt von
eigenen Fahrnissen zurückzustellen.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Auflösung des Mietverhältnisses steht dem Mieter das Recht
zu, Einbauten zu entfernen, sofern dies ohne wesentliche Verletzung
der Substanz möglich ist. Der Mieter ist nur berechtigt,
Aufwandersatz für Verbesserungen des Mietgegenstandes vom Vermieter
zu verlangen, wenn der Vermieter der Verbesserungsarbeit
schriftlich zugestimmt hat.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verspäteter Übergabe schuldet der Mieter dem Vermieter
ein Benützungsentgelt in der Höhe des zuletzt geschuldeten
Mietzinses bis zu dem der tatsächlichen Übergabe folgenden
Monatsletzten.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9. Weitergabe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verpflichtet, dem Vermieter die Veräußerung oder
Verpachtung des im Mietgegenstand betriebenen Unternehmens
unverzüglich anzuzeigen. Die Anzeige hat schriftlich zu
erfolgen.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 12a MRG gibt dem Mieter das Recht, die Mietrechte zB in eine
Gesellschaft einzubringen oder das im Mietgegenstand betriebene
Unternehmen zu veräußern, ohne dass der Vermieter den Mietvertrag
wegen Weitergabe kündigen kann. Der Vermieter ist allerdings
berechtigt, in allen Anwendungsfällen des § 12a MRG den
Mietzins auf das angemessene Niveau anzuheben.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10. Vereinbarte Kündigungsgründe und
Vertragsauflösung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Neben den im Gesetz vorgesehenen Kündigungsgründen wird als
wichtiger Kündigungsgrund seitens des Vermieters gem § 30
Abs 2 Z 13 MRG vereinbart, dass im Fall eines Verkaufes
der Liegenschaft der Vermieter den Mietvertrag aufkündigen
kann.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Benützer dieses Musters beachte, dass eine Kündigung
grundsätzlich nur nach den wenigen gesetzlichen Kündigungsgründen
möglich ist und allenfalls nach dem hier dargestellten
Kündigungsgrund.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Des Weiteren steht dem Vermieter jederzeit das Recht zu, den
Mietvertrag im Sinne der Bestimmungen des § 1118 ABGB fristlos
aufzulösen.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Zusätzlich zu den gesetzlichen, in § 30 MRG genannten
Kündigungsgründen vereinbaren die Vertragsparteien
gem § 30 Abs 2 Z 13 MRG folgenden für den
Vermieter wichtigen Kündigungsgrund. Der Vermieter ist zur
Kündigung berechtigt, wenn über das Vermögen des Mieters ein
Insolvenzverfahren in erster Instanz eröffnet wurde bzw ein
Insolvenzantrag mangels kostendeckenden Vermögens abgewiesen
wurde.</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11. Kosten und Gebühren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mit der Errichtung dieses Vertrages verbundenen Kosten trägt
der Vermieter.</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Seit dem Erkenntnis des OGH (wobl 1993/125 zust </w:t>
            </w:r>
            <w:r>
              <w:rPr>
                <w:rFonts w:ascii="Arial" w:hAnsi="Arial" w:eastAsia="Arial" w:cs="Arial"/>
                <w:i/>
                <w:iCs/>
                <w:color w:val="000000"/>
                <w:position w:val="0"/>
                <w:sz w:val="20"/>
                <w:szCs w:val="20"/>
                <w:shd w:val="clear" w:color="auto" w:fill="FFFFFF"/>
              </w:rPr>
              <w:t xml:space="preserve">Würth</w:t>
            </w:r>
            <w:r>
              <w:rPr>
                <w:rFonts w:ascii="Arial" w:hAnsi="Arial" w:eastAsia="Arial" w:cs="Arial"/>
                <w:color w:val="000000"/>
                <w:position w:val="0"/>
                <w:sz w:val="20"/>
                <w:szCs w:val="20"/>
                <w:shd w:val="clear" w:color="auto" w:fill="FFFFFF"/>
              </w:rPr>
              <w:t xml:space="preserve">)
können diese Kosten nicht mehr auf den Mieter überwälzt werden,
wenn die Betriebskostenbestimmungen des MRG anwendbar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Kosten der Vergebührung dieses Vertrages trägt der
Mieter.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Zum Zwecke der Gebührenbemessung wird festgestellt, dass der auf
den Mietgegenstand entfallende geschätzte Gesamtmietzins
einschließlich der Betriebskosten und öffentlichen Abgaben für das
Jahr EUR … [Betrag] inklusive Umsatzsteuer beträgt, woraus
seitens des Mieters keine Beschränkung der Entgelthöhe abgeleitet
werden kann.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12. Schlüssel</w:t>
      </w:r>
    </w:p>
    <w:p>
      <w:pPr>
        <w:widowControl w:val="on"/>
        <w:pBdr/>
        <w:spacing w:before="140" w:after="240" w:line="288" w:lineRule="auto"/>
        <w:ind w:left="0" w:right="0"/>
        <w:jc w:val="left"/>
      </w:pPr>
      <w:r>
        <w:rPr>
          <w:rFonts w:ascii="Arial" w:hAnsi="Arial" w:eastAsia="Arial" w:cs="Arial"/>
          <w:color w:val="000000"/>
          <w:sz w:val="20"/>
          <w:szCs w:val="20"/>
        </w:rPr>
        <w:t xml:space="preserve">Der Vermieter übergibt dem Mieter anlässlich des
Vertragsabschlusses einen Satz Schlüssel, weitere Schlüssel hat der
Mieter auf eigene Kosten herstellen zu lassen.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13. Mietzinsvorauszahlung</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Dieser mögliche Zusatz sollte nur nach besonderer Abschätzung des
Risikos und Rücksprache mit geeigneten Beratern in den Vertrag
aufgenommen werden.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leistet eine Mietzinsvorauszahlung in Höhe von
EUR … [Betrag].</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Diese Vorauszahlung deckt den Hauptmietzins exklusive
Betriebskosten für den Zeitraum bis zum … [Datum]. Ab diesem Tag
gelten die weiter oben vereinbarten Bestimmungen über Fälligkeiten
und Zahlungsmodalitäten.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Durch diese Vorauszahlung wird ein Anteil von monatlich
EUR … [Betrag] auf den Mietzins für den Zeitraum bis zum …
[Datum] vorausgeleistet und ist nur die Differenz zum vereinbarten
Mietzins zuzüglich Betriebskosten monatlich zu entrichten.</w:t>
      </w:r>
    </w:p>
    <w:p>
      <w:pPr>
        <w:widowControl w:val="on"/>
        <w:pBdr/>
        <w:spacing w:before="140" w:after="240" w:line="288" w:lineRule="auto"/>
        <w:ind w:left="0" w:right="0"/>
        <w:jc w:val="left"/>
      </w:pPr>
      <w:r>
        <w:rPr>
          <w:rFonts w:ascii="Arial" w:hAnsi="Arial" w:eastAsia="Arial" w:cs="Arial"/>
          <w:color w:val="277DB9"/>
          <w:sz w:val="20"/>
          <w:szCs w:val="20"/>
        </w:rPr>
        <w:t xml:space="preserve">Nach Ablauf des genannten Zeitraumes gelten die weiter oben
vereinbarten Modalitäten.</w:t>
      </w:r>
    </w:p>
    <w:p>
      <w:pPr>
        <w:widowControl w:val="on"/>
        <w:pBdr/>
        <w:spacing w:before="140" w:after="240" w:line="288" w:lineRule="auto"/>
        <w:ind w:left="0" w:right="0"/>
        <w:jc w:val="left"/>
      </w:pPr>
      <w:r>
        <w:rPr>
          <w:rFonts w:ascii="Arial" w:hAnsi="Arial" w:eastAsia="Arial" w:cs="Arial"/>
          <w:b/>
          <w:bCs/>
          <w:color w:val="277DB9"/>
          <w:sz w:val="20"/>
          <w:szCs w:val="20"/>
        </w:rPr>
        <w:t xml:space="preserve">Hinweis:</w:t>
      </w:r>
      <w:r>
        <w:rPr>
          <w:rFonts w:ascii="Arial" w:hAnsi="Arial" w:eastAsia="Arial" w:cs="Arial"/>
          <w:color w:val="277DB9"/>
          <w:sz w:val="20"/>
          <w:szCs w:val="20"/>
        </w:rPr>
        <w:br/>
        <w:t xml:space="preserve">Auch für Mietzinsvorauszahlungen gelten die Bestimmungen des
§ 16 Abs 1 MRG (siehe Hinweis 1 zu Punkt 3). Daher kann
auf diesem Weg nur die Fälligkeit vorverlegt, aber keine
betragliche Erhöhung erreicht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14. Sonstiges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 irgendeine Bestimmung dieses Vertrages rechtlich
unwirksam sein, so bleibt die Gültigkeit der übrigen Bestimmungen
dieses Mietvertrages unberührt.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Vertragsparteien verpflichten sich, die allenfalls ungültige
Bestimmung durch eine gültige zu ersetzen, die dem Zweck der
früheren Vertragsbestimmung am ehesten entspricht.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Vertragsparteien halten fest, dass mündliche Nebenabreden zu
diesem Vertrag nicht bestehen und Modifikationen dieses Vertrages
nur in schriftlicher Form erfolgen können. Dies gilt selbst für
eine Vereinbarung, gemäß welcher von der Schriftform abgegangen
wird. Erklärungen des Mieters können dem Vermieter gegenüber nur
schriftlich abgegeben werden.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15. Gerichtsstand</w:t>
      </w:r>
    </w:p>
    <w:p>
      <w:pPr>
        <w:widowControl w:val="on"/>
        <w:pBdr/>
        <w:spacing w:before="140" w:after="240" w:line="288" w:lineRule="auto"/>
        <w:ind w:left="0" w:right="0"/>
        <w:jc w:val="left"/>
      </w:pPr>
      <w:r>
        <w:rPr>
          <w:rFonts w:ascii="Arial" w:hAnsi="Arial" w:eastAsia="Arial" w:cs="Arial"/>
          <w:color w:val="000000"/>
          <w:sz w:val="20"/>
          <w:szCs w:val="20"/>
        </w:rPr>
        <w:t xml:space="preserve">Für alle Streitigkeiten aus dem Bestandverhältnis wird die
Zuständigkeit des sachlich in Betracht kommenden Gerichts in …
[Angabe des Gerichts] vereinbart.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16.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zweifacher Ausfertigung errichtet, deren
eine für den Vermieter, die andere für den Mieter bestimmt ist.</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454136">
    <w:multiLevelType w:val="hybridMultilevel"/>
    <w:lvl w:ilvl="0" w:tplc="81923199">
      <w:start w:val="1"/>
      <w:numFmt w:val="decimal"/>
      <w:lvlText w:val="%1."/>
      <w:lvlJc w:val="left"/>
      <w:pPr>
        <w:ind w:left="720" w:hanging="360"/>
      </w:pPr>
    </w:lvl>
    <w:lvl w:ilvl="1" w:tplc="81923199" w:tentative="1">
      <w:start w:val="1"/>
      <w:numFmt w:val="lowerLetter"/>
      <w:lvlText w:val="%2."/>
      <w:lvlJc w:val="left"/>
      <w:pPr>
        <w:ind w:left="1440" w:hanging="360"/>
      </w:pPr>
    </w:lvl>
    <w:lvl w:ilvl="2" w:tplc="81923199" w:tentative="1">
      <w:start w:val="1"/>
      <w:numFmt w:val="lowerRoman"/>
      <w:lvlText w:val="%3."/>
      <w:lvlJc w:val="right"/>
      <w:pPr>
        <w:ind w:left="2160" w:hanging="180"/>
      </w:pPr>
    </w:lvl>
    <w:lvl w:ilvl="3" w:tplc="81923199" w:tentative="1">
      <w:start w:val="1"/>
      <w:numFmt w:val="decimal"/>
      <w:lvlText w:val="%4."/>
      <w:lvlJc w:val="left"/>
      <w:pPr>
        <w:ind w:left="2880" w:hanging="360"/>
      </w:pPr>
    </w:lvl>
    <w:lvl w:ilvl="4" w:tplc="81923199" w:tentative="1">
      <w:start w:val="1"/>
      <w:numFmt w:val="lowerLetter"/>
      <w:lvlText w:val="%5."/>
      <w:lvlJc w:val="left"/>
      <w:pPr>
        <w:ind w:left="3600" w:hanging="360"/>
      </w:pPr>
    </w:lvl>
    <w:lvl w:ilvl="5" w:tplc="81923199" w:tentative="1">
      <w:start w:val="1"/>
      <w:numFmt w:val="lowerRoman"/>
      <w:lvlText w:val="%6."/>
      <w:lvlJc w:val="right"/>
      <w:pPr>
        <w:ind w:left="4320" w:hanging="180"/>
      </w:pPr>
    </w:lvl>
    <w:lvl w:ilvl="6" w:tplc="81923199" w:tentative="1">
      <w:start w:val="1"/>
      <w:numFmt w:val="decimal"/>
      <w:lvlText w:val="%7."/>
      <w:lvlJc w:val="left"/>
      <w:pPr>
        <w:ind w:left="5040" w:hanging="360"/>
      </w:pPr>
    </w:lvl>
    <w:lvl w:ilvl="7" w:tplc="81923199" w:tentative="1">
      <w:start w:val="1"/>
      <w:numFmt w:val="lowerLetter"/>
      <w:lvlText w:val="%8."/>
      <w:lvlJc w:val="left"/>
      <w:pPr>
        <w:ind w:left="5760" w:hanging="360"/>
      </w:pPr>
    </w:lvl>
    <w:lvl w:ilvl="8" w:tplc="81923199" w:tentative="1">
      <w:start w:val="1"/>
      <w:numFmt w:val="lowerRoman"/>
      <w:lvlText w:val="%9."/>
      <w:lvlJc w:val="right"/>
      <w:pPr>
        <w:ind w:left="6480" w:hanging="180"/>
      </w:pPr>
    </w:lvl>
  </w:abstractNum>
  <w:abstractNum w:abstractNumId="68454135">
    <w:multiLevelType w:val="hybridMultilevel"/>
    <w:lvl w:ilvl="0" w:tplc="265767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454135">
    <w:abstractNumId w:val="68454135"/>
  </w:num>
  <w:num w:numId="68454136">
    <w:abstractNumId w:val="684541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40620732" Type="http://schemas.openxmlformats.org/officeDocument/2006/relationships/numbering" Target="numbering.xml"/><Relationship Id="rId55100959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