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2431069" w:name="document"/>
    <w:bookmarkEnd w:id="42431069"/>
    <w:p/>
    <w:p>
      <w:pPr>
        <w:widowControl w:val="on"/>
        <w:pBdr/>
        <w:spacing w:before="0" w:after="280" w:line="240" w:lineRule="auto"/>
        <w:ind w:left="0" w:right="0"/>
        <w:jc w:val="left"/>
      </w:pPr>
      <w:r>
        <w:rPr>
          <w:rFonts w:ascii="Arial" w:hAnsi="Arial" w:eastAsia="Arial" w:cs="Arial"/>
          <w:color w:val="363A40"/>
          <w:sz w:val="24"/>
          <w:szCs w:val="24"/>
        </w:rPr>
        <w:t xml:space="preserve">Dokument-ID: 881998 | FORUM Media (red) - Karin
Zahiragic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Festsetzung der Nutzwerte</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Magistrat der Stadt Wien</w:t>
      </w:r>
      <w:r>
        <w:rPr>
          <w:rFonts w:ascii="Arial" w:hAnsi="Arial" w:eastAsia="Arial" w:cs="Arial"/>
          <w:color w:val="000000"/>
          <w:sz w:val="20"/>
          <w:szCs w:val="20"/>
        </w:rPr>
        <w:br/>
        <w:t xml:space="preserve">Magistratsabteilung 50</w:t>
      </w:r>
      <w:r>
        <w:rPr>
          <w:rFonts w:ascii="Arial" w:hAnsi="Arial" w:eastAsia="Arial" w:cs="Arial"/>
          <w:color w:val="000000"/>
          <w:sz w:val="20"/>
          <w:szCs w:val="20"/>
        </w:rPr>
        <w:br/>
        <w:t xml:space="preserve">Zentrale Schlichtungsstelle</w:t>
      </w:r>
      <w:r>
        <w:rPr>
          <w:rFonts w:ascii="Arial" w:hAnsi="Arial" w:eastAsia="Arial" w:cs="Arial"/>
          <w:color w:val="000000"/>
          <w:sz w:val="20"/>
          <w:szCs w:val="20"/>
        </w:rPr>
        <w:br/>
        <w:t xml:space="preserve">Friedrich Schmidt Platz 4</w:t>
      </w:r>
      <w:r>
        <w:rPr>
          <w:rFonts w:ascii="Arial" w:hAnsi="Arial" w:eastAsia="Arial" w:cs="Arial"/>
          <w:color w:val="000000"/>
          <w:sz w:val="20"/>
          <w:szCs w:val="20"/>
        </w:rPr>
        <w:br/>
        <w:t xml:space="preserve">1082 Wien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Moritz Musterberg</w:t>
            </w:r>
            <w:r>
              <w:rPr>
                <w:rFonts w:ascii="Arial" w:hAnsi="Arial" w:eastAsia="Arial" w:cs="Arial"/>
                <w:color w:val="000000"/>
                <w:position w:val="0"/>
                <w:sz w:val="20"/>
                <w:szCs w:val="20"/>
                <w:shd w:val="clear" w:color="auto" w:fill="FFFFFF"/>
              </w:rPr>
              <w:br/>
              <w:t xml:space="preserve">Kundratstraße 16</w:t>
            </w:r>
            <w:r>
              <w:rPr>
                <w:rFonts w:ascii="Arial" w:hAnsi="Arial" w:eastAsia="Arial" w:cs="Arial"/>
                <w:color w:val="000000"/>
                <w:position w:val="0"/>
                <w:sz w:val="20"/>
                <w:szCs w:val="20"/>
                <w:shd w:val="clear" w:color="auto" w:fill="FFFFFF"/>
              </w:rPr>
              <w:br/>
              <w:t xml:space="preserve">1100 Wien</w:t>
            </w:r>
            <w:r>
              <w:rPr>
                <w:rFonts w:ascii="Arial" w:hAnsi="Arial" w:eastAsia="Arial" w:cs="Arial"/>
                <w:color w:val="000000"/>
                <w:position w:val="0"/>
                <w:sz w:val="20"/>
                <w:szCs w:val="20"/>
                <w:shd w:val="clear" w:color="auto" w:fill="FFFFFF"/>
              </w:rPr>
              <w:br/>
              <w:t xml:space="preserve">als Miteigentümer der Liegenschaft</w:t>
            </w:r>
            <w:r>
              <w:rPr>
                <w:rFonts w:ascii="Arial" w:hAnsi="Arial" w:eastAsia="Arial" w:cs="Arial"/>
                <w:color w:val="000000"/>
                <w:position w:val="0"/>
                <w:sz w:val="20"/>
                <w:szCs w:val="20"/>
                <w:shd w:val="clear" w:color="auto" w:fill="FFFFFF"/>
              </w:rPr>
              <w:br/>
              <w:t xml:space="preserve">EZ 3510, Katastralgemeinde Favoriten</w:t>
            </w:r>
            <w:r>
              <w:rPr>
                <w:rFonts w:ascii="Arial" w:hAnsi="Arial" w:eastAsia="Arial" w:cs="Arial"/>
                <w:color w:val="000000"/>
                <w:position w:val="0"/>
                <w:sz w:val="20"/>
                <w:szCs w:val="20"/>
                <w:shd w:val="clear" w:color="auto" w:fill="FFFFFF"/>
              </w:rPr>
              <w:br/>
              <w:t xml:space="preserve">Bezirksgericht Favoriten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9 iVm § 52 WEG 2002</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auf Festsetzung der Nutzwerte für die Liegenschaft EZ 3510,
Katastralgemeinde Favoriten, Bezirksgericht Favoriten wegen
Abweichung des Gutachtens über die Berechnung der Nutzwerte um
mindestens 3 vH von den tatsächlichen Gegebenheiten
gem § 9 WEG 2002.</w:t>
      </w:r>
    </w:p>
    <w:p>
      <w:pPr>
        <w:widowControl w:val="on"/>
        <w:pBdr/>
        <w:spacing w:before="140" w:after="240" w:line="288" w:lineRule="auto"/>
        <w:ind w:left="0" w:right="0"/>
        <w:jc w:val="right"/>
      </w:pPr>
      <w:r>
        <w:rPr>
          <w:rFonts w:ascii="Arial" w:hAnsi="Arial" w:eastAsia="Arial" w:cs="Arial"/>
          <w:color w:val="000000"/>
          <w:sz w:val="20"/>
          <w:szCs w:val="20"/>
        </w:rPr>
        <w:t xml:space="preserve">3-fach</w:t>
      </w:r>
      <w:r>
        <w:rPr>
          <w:rFonts w:ascii="Arial" w:hAnsi="Arial" w:eastAsia="Arial" w:cs="Arial"/>
          <w:color w:val="000000"/>
          <w:sz w:val="20"/>
          <w:szCs w:val="20"/>
        </w:rPr>
        <w:br/>
        <w:t xml:space="preserve">4 Beilagen</w:t>
      </w:r>
    </w:p>
    <w:p>
      <w:pPr>
        <w:widowControl w:val="on"/>
        <w:pBdr/>
        <w:spacing w:before="140" w:after="240" w:line="288" w:lineRule="auto"/>
        <w:ind w:left="0" w:right="0"/>
        <w:jc w:val="left"/>
      </w:pPr>
      <w:r>
        <w:rPr>
          <w:rFonts w:ascii="Arial" w:hAnsi="Arial" w:eastAsia="Arial" w:cs="Arial"/>
          <w:color w:val="000000"/>
          <w:sz w:val="20"/>
          <w:szCs w:val="20"/>
        </w:rPr>
        <w:t xml:space="preserve">Ich bin Wohnungseigentümer der Wohnung Top Nr 2 der
Wohnhausanlage 1100 Wien, Kundratstraße 16, EZ 3510, KG Favoriten,
BG Favoriten.</w:t>
      </w:r>
    </w:p>
    <w:p>
      <w:pPr>
        <w:widowControl w:val="on"/>
        <w:pBdr/>
        <w:spacing w:before="140" w:after="240" w:line="288" w:lineRule="auto"/>
        <w:ind w:left="0" w:right="0"/>
        <w:jc w:val="left"/>
      </w:pPr>
      <w:r>
        <w:rPr>
          <w:rFonts w:ascii="Arial" w:hAnsi="Arial" w:eastAsia="Arial" w:cs="Arial"/>
          <w:color w:val="000000"/>
          <w:sz w:val="20"/>
          <w:szCs w:val="20"/>
        </w:rPr>
        <w:t xml:space="preserve">In dieser Eigenschaft beantrage ich binnen offener Frist die
Festsetzung der Nutzwerte, weil die von Herrn DI N.N. mittels
Gutachten vom 25.04.1997 vorgenommene Festlegung der Nutzwerte um
6,5 % von den tatsächlichen Gegebenheiten abweicht, wie aus
dem Gutachten des von mir beauftragten gerichtlich beeideten
Sachverständigen für das Immobilienwesen, Herrn Mag. M.M.
hervorgeht und damit die gesetzlichen Voraussetzungen für die
gerichtliche/amtliche Festsetzung der Nutzwerte vorliegen.</w:t>
      </w:r>
    </w:p>
    <w:p>
      <w:pPr>
        <w:widowControl w:val="on"/>
        <w:pBdr/>
        <w:spacing w:before="140" w:after="240" w:line="288" w:lineRule="auto"/>
        <w:ind w:left="0" w:right="0"/>
        <w:jc w:val="left"/>
      </w:pPr>
      <w:r>
        <w:rPr>
          <w:rFonts w:ascii="Arial" w:hAnsi="Arial" w:eastAsia="Arial" w:cs="Arial"/>
          <w:color w:val="000000"/>
          <w:sz w:val="20"/>
          <w:szCs w:val="20"/>
        </w:rPr>
        <w:t xml:space="preserve">Es liegt die Zustimmung aller Wohnungseigentümer der
Wohnhausanlage in 1100 Wien, Kundratstraße 16, vor.</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Beilagen:</w:t>
      </w:r>
    </w:p>
    <w:p>
      <w:pPr>
        <w:numPr>
          <w:ilvl w:val="0"/>
          <w:numId w:val="2430725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Aktueller Grundbuchsauszug der verfahrensgegenständlichen
Liegenschaft</w:t>
      </w:r>
    </w:p>
    <w:p>
      <w:pPr>
        <w:numPr>
          <w:ilvl w:val="0"/>
          <w:numId w:val="2430725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Gutachten des Herrn Ziviltechnikers DI N.N.</w:t>
      </w:r>
    </w:p>
    <w:p>
      <w:pPr>
        <w:numPr>
          <w:ilvl w:val="0"/>
          <w:numId w:val="2430725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Gutachten des Herrn Sachverständigen Mag. M.M.</w:t>
      </w:r>
    </w:p>
    <w:p>
      <w:pPr>
        <w:numPr>
          <w:ilvl w:val="0"/>
          <w:numId w:val="2430725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Nutzflächenaufstellung der Wohnhausanlage 1100 Wien,
Kundratstraße 16</w:t>
      </w:r>
    </w:p>
    <w:p>
      <w:pPr>
        <w:numPr>
          <w:ilvl w:val="0"/>
          <w:numId w:val="2430725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Zustimmungserklärung aller Miteigentümer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9604660" w:name="note1"/>
            <w:bookmarkEnd w:id="99604660"/>
            <w:bookmarkStart w:id="9817783123893" w:name="note1"/>
            <w:r>
              <w:rPr>
                <w:rFonts w:ascii="Arial" w:hAnsi="Arial" w:eastAsia="Arial" w:cs="Arial"/>
                <w:b/>
                <w:bCs/>
                <w:color w:val="000000"/>
                <w:position w:val="0"/>
                <w:sz w:val="20"/>
                <w:szCs w:val="20"/>
              </w:rPr>
              <w:t xml:space="preserve">[1]</w:t>
            </w:r>
            <w:bookmarkEnd w:id="981778312389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Verfahren auf (Neu)Festsetzung der Miet-/Nutzwerte
gem § 9 Abs 2 und 3 WEG 2002 kann auf Antrag bei der
Schlichtungsstelle eingeleitet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675547" w:name="note2"/>
            <w:bookmarkEnd w:id="4675547"/>
            <w:bookmarkStart w:id="6298909508586" w:name="note2"/>
            <w:r>
              <w:rPr>
                <w:rFonts w:ascii="Arial" w:hAnsi="Arial" w:eastAsia="Arial" w:cs="Arial"/>
                <w:b/>
                <w:bCs/>
                <w:color w:val="000000"/>
                <w:position w:val="0"/>
                <w:sz w:val="20"/>
                <w:szCs w:val="20"/>
              </w:rPr>
              <w:t xml:space="preserve">[2]</w:t>
            </w:r>
            <w:bookmarkEnd w:id="629890950858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Antragsberechtigt sind in den Fällen des § 9 Abs 2
Z 1 bis 4 WEG 2002 die LiegenschaftseigentümerInnen (LE) sowie
alle MiteigentümerInnen (ME), WohnungseigentümerInnen (WE) oder
WohnungseigentumsbewerberInnen (WEB) der Liegenschaft. Gem
§ 10 Abs 1 WEG 2002 kann der Antrag in den Fällen des
§ 9 Abs 2 Z 5 WEG 2002 nur gemeinsam von den von der
Änderung oder Übertragung betroffenen Wohnungseigentümern beantragt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1822574" w:name="note3"/>
            <w:bookmarkEnd w:id="81822574"/>
            <w:bookmarkStart w:id="4842133897055" w:name="note3"/>
            <w:r>
              <w:rPr>
                <w:rFonts w:ascii="Arial" w:hAnsi="Arial" w:eastAsia="Arial" w:cs="Arial"/>
                <w:b/>
                <w:bCs/>
                <w:color w:val="000000"/>
                <w:position w:val="0"/>
                <w:sz w:val="20"/>
                <w:szCs w:val="20"/>
              </w:rPr>
              <w:t xml:space="preserve">[3]</w:t>
            </w:r>
            <w:bookmarkEnd w:id="484213389705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Antrag muss folgenden Inhalt aufweisen:</w:t>
            </w:r>
          </w:p>
          <w:p>
            <w:pPr>
              <w:numPr>
                <w:ilvl w:val="0"/>
                <w:numId w:val="6574818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Präzise Erläuterung der Gründe für die Neufestsetzung der
Nutzwerte (zB Dachgeschoßausbau: Im DG wurden die Wohnungen Top
Nr neu geschaffen)</w:t>
            </w:r>
          </w:p>
          <w:p>
            <w:pPr>
              <w:numPr>
                <w:ilvl w:val="0"/>
                <w:numId w:val="6574818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bauliche Änderungen: Bei der Wohnung Top Nr wurde eine
Terrasse zugebaut; es wurde ein Lift eingebaut</w:t>
            </w:r>
          </w:p>
          <w:p>
            <w:pPr>
              <w:numPr>
                <w:ilvl w:val="0"/>
                <w:numId w:val="6574818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Umwidmung: Das Objekt Top Nr wurde von Geschäft auf
Wohnung umgewidmet usw)</w:t>
            </w:r>
          </w:p>
          <w:p>
            <w:pPr>
              <w:numPr>
                <w:ilvl w:val="0"/>
                <w:numId w:val="6574818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Angaben über die Rechtzeitigkeit der Antragstellung iSd
§ 10 WEG 2002 (Bekanntgabe, wann die Bauarbeiten abgeschlossen
wurden)</w:t>
            </w:r>
          </w:p>
          <w:p>
            <w:pPr>
              <w:numPr>
                <w:ilvl w:val="0"/>
                <w:numId w:val="6574818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Schriftliche Bekanntgabe bei Bauanzeigen, dass durch die
Baupolizei (MA 37), innerhalb der Frist von sechs Wochen, keine
Untersagung erfolgte</w:t>
            </w:r>
          </w:p>
          <w:p>
            <w:pPr>
              <w:numPr>
                <w:ilvl w:val="0"/>
                <w:numId w:val="6574818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Schriftliche Bekanntgabe, ob zu den baulichen Änderungen und
Umwidmungen (Zusammenlegung, Terrassenzubau, Badeinbau usw) die
Zustimmung sämtlicher EigentümerInnen gem § 16 Abs 2
WEG 2002 vorliegt. (Bei Fehlen der Zustimmung sämtlicher
EigentümerInnen Zustimmungsersatz durch den Außerstreitrichter
gem § 52 Abs 1 Z 2 WEG2002)</w:t>
            </w:r>
          </w:p>
          <w:p>
            <w:pPr>
              <w:numPr>
                <w:ilvl w:val="0"/>
                <w:numId w:val="6574818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Im Antrag gem § 9 Abs 2 WEG 2002 kann begehrt
werden, das Nutzwertgutachten sowie die Nutzflächenaufstellung
durch die MA 25 – Gruppe Miet- und Nutzwert erstellen zu
lassen.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0653681" w:name="note4"/>
            <w:bookmarkEnd w:id="50653681"/>
            <w:bookmarkStart w:id="9350360644826" w:name="note4"/>
            <w:r>
              <w:rPr>
                <w:rFonts w:ascii="Arial" w:hAnsi="Arial" w:eastAsia="Arial" w:cs="Arial"/>
                <w:b/>
                <w:bCs/>
                <w:color w:val="000000"/>
                <w:position w:val="0"/>
                <w:sz w:val="20"/>
                <w:szCs w:val="20"/>
              </w:rPr>
              <w:t xml:space="preserve">[4]</w:t>
            </w:r>
            <w:bookmarkEnd w:id="935036064482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Folgende Beilagen sind dem Antrag anzuschließen:</w:t>
            </w:r>
          </w:p>
          <w:p>
            <w:pPr>
              <w:numPr>
                <w:ilvl w:val="0"/>
                <w:numId w:val="4476575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Liste der WE, ME bzw WEB (nur Auflistung der Namen)</w:t>
            </w:r>
          </w:p>
          <w:p>
            <w:pPr>
              <w:numPr>
                <w:ilvl w:val="0"/>
                <w:numId w:val="4476575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Vertretungsvollmacht</w:t>
            </w:r>
          </w:p>
          <w:p>
            <w:pPr>
              <w:numPr>
                <w:ilvl w:val="0"/>
                <w:numId w:val="4476575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Erstmaliges Nutzwertgutachten, welches als Grundlage für die
Begründung von Wohnungseigentum diente (soferne Gutachten
gem § 9 Abs 6 WEG 2002 vorliegen, auch diese)</w:t>
            </w:r>
          </w:p>
          <w:p>
            <w:pPr>
              <w:numPr>
                <w:ilvl w:val="0"/>
                <w:numId w:val="4476575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Nachweis über die Zustimmung sämtlicher EigentümerInnen
gem § 16 Abs 2 WEG 2002 – zu den erfolgten baulichen
Änderungen, Umwidmungen und Tausch von Zubehör (zB:
Umlaufbeschluss, Beschluss in der WE-Versammlung samt
Unterschriftenliste; WE-Vertrag, Zustimmung aller EigentümerInnen
in einem Bauverfahren)</w:t>
            </w:r>
          </w:p>
          <w:p>
            <w:pPr>
              <w:numPr>
                <w:ilvl w:val="0"/>
                <w:numId w:val="4476575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Nachweis über die Vollendung der Bauführung gem § 10
WEG 2002 (zB, Schlussrechnung, Übernahmeprotokoll,
Fertigstellungsanzeige)</w:t>
            </w:r>
          </w:p>
          <w:p>
            <w:pPr>
              <w:numPr>
                <w:ilvl w:val="0"/>
                <w:numId w:val="4476575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Baubehördlich bewilligter Originalplan samt Bescheid oder</w:t>
            </w:r>
          </w:p>
          <w:p>
            <w:pPr>
              <w:numPr>
                <w:ilvl w:val="0"/>
                <w:numId w:val="4476575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Bauanzeige samt Eingangsstempel der MA 37 (samt schriftlicher
Bekanntgabe, dass binnen einer Frist von sechs Wochen ab Einlangen
bei der MA 37 durch diese keine Untersagung erfolgt ist)</w:t>
            </w:r>
          </w:p>
          <w:p>
            <w:pPr>
              <w:numPr>
                <w:ilvl w:val="0"/>
                <w:numId w:val="4476575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Technische Unterlagen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9218442" w:name="note5"/>
            <w:bookmarkEnd w:id="59218442"/>
            <w:bookmarkStart w:id="3177455628500" w:name="note5"/>
            <w:r>
              <w:rPr>
                <w:rFonts w:ascii="Arial" w:hAnsi="Arial" w:eastAsia="Arial" w:cs="Arial"/>
                <w:b/>
                <w:bCs/>
                <w:color w:val="000000"/>
                <w:position w:val="0"/>
                <w:sz w:val="20"/>
                <w:szCs w:val="20"/>
              </w:rPr>
              <w:t xml:space="preserve">[5]</w:t>
            </w:r>
            <w:bookmarkEnd w:id="317745562850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Keine Neufestsetzungsgründe bilden:</w:t>
            </w:r>
          </w:p>
          <w:p>
            <w:pPr>
              <w:numPr>
                <w:ilvl w:val="0"/>
                <w:numId w:val="56649382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Verschlechterter Geschäftsgang (aufgrund ungünstiger
Verkehrslage oder Bautätigkeit)</w:t>
            </w:r>
          </w:p>
          <w:p>
            <w:pPr>
              <w:numPr>
                <w:ilvl w:val="0"/>
                <w:numId w:val="56649382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Lärmbelästigung durch Zubauten (zB Fabrik, Autobahn und
ähnliches)</w:t>
            </w:r>
          </w:p>
        </w:tc>
      </w:tr>
    </w:tbl>
    <w:p>
      <w:pPr>
        <w:widowControl w:val="on"/>
        <w:pBdr/>
        <w:spacing w:before="140" w:after="240" w:line="288" w:lineRule="auto"/>
        <w:ind w:left="0" w:right="0"/>
        <w:jc w:val="left"/>
      </w:pPr>
      <w:r>
        <w:rPr>
          <w:rFonts w:ascii="Arial" w:hAnsi="Arial" w:eastAsia="Arial" w:cs="Arial"/>
          <w:color w:val="000000"/>
          <w:sz w:val="20"/>
          <w:szCs w:val="20"/>
        </w:rPr>
        <w:t xml:space="preserve">Zusatzinformationen:</w:t>
      </w:r>
    </w:p>
    <w:p>
      <w:pPr>
        <w:widowControl w:val="on"/>
        <w:pBdr/>
        <w:spacing w:before="140" w:after="240" w:line="288" w:lineRule="auto"/>
        <w:ind w:left="0" w:right="0"/>
        <w:jc w:val="left"/>
      </w:pPr>
      <w:r>
        <w:rPr>
          <w:rFonts w:ascii="Arial" w:hAnsi="Arial" w:eastAsia="Arial" w:cs="Arial"/>
          <w:color w:val="000000"/>
          <w:sz w:val="20"/>
          <w:szCs w:val="20"/>
        </w:rPr>
        <w:t xml:space="preserve">Seit der Novellierung des Wohnungseigentumsgesetzes durch die
Novelle 1997 erfolgt die Festlegung der Nutzwerte in der Regel ohne
Beteiligung des Gerichtes/der Behörde durch einen Ziviltechniker
für den Hochbau oder einen gerichtlich beeideten Sachverständigen
für den Hochbau oder das Immobilienwesen.</w:t>
      </w:r>
    </w:p>
    <w:p>
      <w:pPr>
        <w:widowControl w:val="on"/>
        <w:pBdr/>
        <w:spacing w:before="140" w:after="240" w:line="288" w:lineRule="auto"/>
        <w:ind w:left="0" w:right="0"/>
        <w:jc w:val="left"/>
      </w:pPr>
      <w:r>
        <w:rPr>
          <w:rFonts w:ascii="Arial" w:hAnsi="Arial" w:eastAsia="Arial" w:cs="Arial"/>
          <w:color w:val="000000"/>
          <w:sz w:val="20"/>
          <w:szCs w:val="20"/>
        </w:rPr>
        <w:t xml:space="preserve">Die (behauptete) Abweichung der tatsächlichen Verhältnisse von
dem festgestellten ist jedoch ein möglicher Grund, um binnen einer
Frist eines Jahres doch die gerichtliche/behördliche Festsetzung
der Nutzwerte beantragen zu können.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649382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765752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748185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4307251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4087091">
    <w:multiLevelType w:val="hybridMultilevel"/>
    <w:lvl w:ilvl="0" w:tplc="66987329">
      <w:start w:val="1"/>
      <w:numFmt w:val="decimal"/>
      <w:lvlText w:val="%1."/>
      <w:lvlJc w:val="left"/>
      <w:pPr>
        <w:ind w:left="720" w:hanging="360"/>
      </w:pPr>
    </w:lvl>
    <w:lvl w:ilvl="1" w:tplc="66987329" w:tentative="1">
      <w:start w:val="1"/>
      <w:numFmt w:val="lowerLetter"/>
      <w:lvlText w:val="%2."/>
      <w:lvlJc w:val="left"/>
      <w:pPr>
        <w:ind w:left="1440" w:hanging="360"/>
      </w:pPr>
    </w:lvl>
    <w:lvl w:ilvl="2" w:tplc="66987329" w:tentative="1">
      <w:start w:val="1"/>
      <w:numFmt w:val="lowerRoman"/>
      <w:lvlText w:val="%3."/>
      <w:lvlJc w:val="right"/>
      <w:pPr>
        <w:ind w:left="2160" w:hanging="180"/>
      </w:pPr>
    </w:lvl>
    <w:lvl w:ilvl="3" w:tplc="66987329" w:tentative="1">
      <w:start w:val="1"/>
      <w:numFmt w:val="decimal"/>
      <w:lvlText w:val="%4."/>
      <w:lvlJc w:val="left"/>
      <w:pPr>
        <w:ind w:left="2880" w:hanging="360"/>
      </w:pPr>
    </w:lvl>
    <w:lvl w:ilvl="4" w:tplc="66987329" w:tentative="1">
      <w:start w:val="1"/>
      <w:numFmt w:val="lowerLetter"/>
      <w:lvlText w:val="%5."/>
      <w:lvlJc w:val="left"/>
      <w:pPr>
        <w:ind w:left="3600" w:hanging="360"/>
      </w:pPr>
    </w:lvl>
    <w:lvl w:ilvl="5" w:tplc="66987329" w:tentative="1">
      <w:start w:val="1"/>
      <w:numFmt w:val="lowerRoman"/>
      <w:lvlText w:val="%6."/>
      <w:lvlJc w:val="right"/>
      <w:pPr>
        <w:ind w:left="4320" w:hanging="180"/>
      </w:pPr>
    </w:lvl>
    <w:lvl w:ilvl="6" w:tplc="66987329" w:tentative="1">
      <w:start w:val="1"/>
      <w:numFmt w:val="decimal"/>
      <w:lvlText w:val="%7."/>
      <w:lvlJc w:val="left"/>
      <w:pPr>
        <w:ind w:left="5040" w:hanging="360"/>
      </w:pPr>
    </w:lvl>
    <w:lvl w:ilvl="7" w:tplc="66987329" w:tentative="1">
      <w:start w:val="1"/>
      <w:numFmt w:val="lowerLetter"/>
      <w:lvlText w:val="%8."/>
      <w:lvlJc w:val="left"/>
      <w:pPr>
        <w:ind w:left="5760" w:hanging="360"/>
      </w:pPr>
    </w:lvl>
    <w:lvl w:ilvl="8" w:tplc="66987329" w:tentative="1">
      <w:start w:val="1"/>
      <w:numFmt w:val="lowerRoman"/>
      <w:lvlText w:val="%9."/>
      <w:lvlJc w:val="right"/>
      <w:pPr>
        <w:ind w:left="6480" w:hanging="180"/>
      </w:pPr>
    </w:lvl>
  </w:abstractNum>
  <w:abstractNum w:abstractNumId="40466948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2776060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4087090">
    <w:multiLevelType w:val="hybridMultilevel"/>
    <w:lvl w:ilvl="0" w:tplc="87956244">
      <w:start w:val="1"/>
      <w:numFmt w:val="decimal"/>
      <w:lvlText w:val="%1."/>
      <w:lvlJc w:val="left"/>
      <w:pPr>
        <w:ind w:left="720" w:hanging="360"/>
      </w:pPr>
    </w:lvl>
    <w:lvl w:ilvl="1" w:tplc="87956244" w:tentative="1">
      <w:start w:val="1"/>
      <w:numFmt w:val="lowerLetter"/>
      <w:lvlText w:val="%2."/>
      <w:lvlJc w:val="left"/>
      <w:pPr>
        <w:ind w:left="1440" w:hanging="360"/>
      </w:pPr>
    </w:lvl>
    <w:lvl w:ilvl="2" w:tplc="87956244" w:tentative="1">
      <w:start w:val="1"/>
      <w:numFmt w:val="lowerRoman"/>
      <w:lvlText w:val="%3."/>
      <w:lvlJc w:val="right"/>
      <w:pPr>
        <w:ind w:left="2160" w:hanging="180"/>
      </w:pPr>
    </w:lvl>
    <w:lvl w:ilvl="3" w:tplc="87956244" w:tentative="1">
      <w:start w:val="1"/>
      <w:numFmt w:val="decimal"/>
      <w:lvlText w:val="%4."/>
      <w:lvlJc w:val="left"/>
      <w:pPr>
        <w:ind w:left="2880" w:hanging="360"/>
      </w:pPr>
    </w:lvl>
    <w:lvl w:ilvl="4" w:tplc="87956244" w:tentative="1">
      <w:start w:val="1"/>
      <w:numFmt w:val="lowerLetter"/>
      <w:lvlText w:val="%5."/>
      <w:lvlJc w:val="left"/>
      <w:pPr>
        <w:ind w:left="3600" w:hanging="360"/>
      </w:pPr>
    </w:lvl>
    <w:lvl w:ilvl="5" w:tplc="87956244" w:tentative="1">
      <w:start w:val="1"/>
      <w:numFmt w:val="lowerRoman"/>
      <w:lvlText w:val="%6."/>
      <w:lvlJc w:val="right"/>
      <w:pPr>
        <w:ind w:left="4320" w:hanging="180"/>
      </w:pPr>
    </w:lvl>
    <w:lvl w:ilvl="6" w:tplc="87956244" w:tentative="1">
      <w:start w:val="1"/>
      <w:numFmt w:val="decimal"/>
      <w:lvlText w:val="%7."/>
      <w:lvlJc w:val="left"/>
      <w:pPr>
        <w:ind w:left="5040" w:hanging="360"/>
      </w:pPr>
    </w:lvl>
    <w:lvl w:ilvl="7" w:tplc="87956244" w:tentative="1">
      <w:start w:val="1"/>
      <w:numFmt w:val="lowerLetter"/>
      <w:lvlText w:val="%8."/>
      <w:lvlJc w:val="left"/>
      <w:pPr>
        <w:ind w:left="5760" w:hanging="360"/>
      </w:pPr>
    </w:lvl>
    <w:lvl w:ilvl="8" w:tplc="87956244" w:tentative="1">
      <w:start w:val="1"/>
      <w:numFmt w:val="lowerRoman"/>
      <w:lvlText w:val="%9."/>
      <w:lvlJc w:val="right"/>
      <w:pPr>
        <w:ind w:left="6480" w:hanging="180"/>
      </w:pPr>
    </w:lvl>
  </w:abstractNum>
  <w:abstractNum w:abstractNumId="14087089">
    <w:multiLevelType w:val="hybridMultilevel"/>
    <w:lvl w:ilvl="0" w:tplc="308454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087089">
    <w:abstractNumId w:val="14087089"/>
  </w:num>
  <w:num w:numId="14087090">
    <w:abstractNumId w:val="14087090"/>
  </w:num>
  <w:num w:numId="327760606">
    <w:abstractNumId w:val="327760606"/>
  </w:num>
  <w:num w:numId="404669485">
    <w:abstractNumId w:val="404669485"/>
  </w:num>
  <w:num w:numId="14087091">
    <w:abstractNumId w:val="14087091"/>
  </w:num>
  <w:num w:numId="243072512">
    <w:abstractNumId w:val="243072512"/>
  </w:num>
  <w:num w:numId="657481855">
    <w:abstractNumId w:val="657481855"/>
  </w:num>
  <w:num w:numId="447657520">
    <w:abstractNumId w:val="447657520"/>
  </w:num>
  <w:num w:numId="566493824">
    <w:abstractNumId w:val="5664938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01204670" Type="http://schemas.openxmlformats.org/officeDocument/2006/relationships/numbering" Target="numbering.xml"/><Relationship Id="rId84034857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