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0701371" w:name="document"/>
    <w:bookmarkEnd w:id="90701371"/>
    <w:p/>
    <w:p>
      <w:pPr>
        <w:widowControl w:val="on"/>
        <w:pBdr/>
        <w:spacing w:before="0" w:after="280" w:line="240" w:lineRule="auto"/>
        <w:ind w:left="0" w:right="0"/>
        <w:jc w:val="left"/>
      </w:pPr>
      <w:r>
        <w:rPr>
          <w:rFonts w:ascii="Arial" w:hAnsi="Arial" w:eastAsia="Arial" w:cs="Arial"/>
          <w:color w:val="363A40"/>
          <w:sz w:val="24"/>
          <w:szCs w:val="24"/>
        </w:rPr>
        <w:t xml:space="preserve">Dokument-ID: 1106238 | FORUM Media (red)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gerichtliche Feststellung der Unrichtigkeit von
Betriebskostenabrechnungen</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Fünfhaus</w:t>
      </w:r>
      <w:r>
        <w:rPr>
          <w:rFonts w:ascii="Arial" w:hAnsi="Arial" w:eastAsia="Arial" w:cs="Arial"/>
          <w:color w:val="000000"/>
          <w:sz w:val="20"/>
          <w:szCs w:val="20"/>
        </w:rPr>
        <w:br/>
        <w:t xml:space="preserve">Gasgasse 1/7</w:t>
      </w:r>
      <w:r>
        <w:rPr>
          <w:rFonts w:ascii="Arial" w:hAnsi="Arial" w:eastAsia="Arial" w:cs="Arial"/>
          <w:color w:val="000000"/>
          <w:sz w:val="20"/>
          <w:szCs w:val="20"/>
        </w:rPr>
        <w:br/>
        <w:t xml:space="preserve">1150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1150 Wien, Glückauf-Gasse 39</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numPr>
                <w:ilvl w:val="0"/>
                <w:numId w:val="1769410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Hildegard Brandt, Top 35</w:t>
            </w:r>
          </w:p>
          <w:p>
            <w:pPr>
              <w:numPr>
                <w:ilvl w:val="0"/>
                <w:numId w:val="1769410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Hertha Olaschrofsky, Top 40</w:t>
            </w:r>
          </w:p>
          <w:p>
            <w:pPr>
              <w:numPr>
                <w:ilvl w:val="0"/>
                <w:numId w:val="1769410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Hannelore Hüpf, Top 45</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1150 Wien, Glückauf-Gasse 39</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Hausverwaltung Herbert Musterhof,</w:t>
            </w:r>
            <w:r>
              <w:rPr>
                <w:rFonts w:ascii="Arial" w:hAnsi="Arial" w:eastAsia="Arial" w:cs="Arial"/>
                <w:color w:val="000000"/>
                <w:position w:val="0"/>
                <w:sz w:val="20"/>
                <w:szCs w:val="20"/>
                <w:shd w:val="clear" w:color="auto" w:fill="FFFFFF"/>
              </w:rPr>
              <w:br/>
              <w:t xml:space="preserve">1130 Wien,</w:t>
            </w:r>
            <w:r>
              <w:rPr>
                <w:rFonts w:ascii="Arial" w:hAnsi="Arial" w:eastAsia="Arial" w:cs="Arial"/>
                <w:color w:val="000000"/>
                <w:position w:val="0"/>
                <w:sz w:val="20"/>
                <w:szCs w:val="20"/>
                <w:shd w:val="clear" w:color="auto" w:fill="FFFFFF"/>
              </w:rPr>
              <w:br/>
              <w:t xml:space="preserve">Laungasse 33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34 WEG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Rechnungslegung</w:t>
      </w:r>
    </w:p>
    <w:p>
      <w:pPr>
        <w:widowControl w:val="on"/>
        <w:pBdr/>
        <w:spacing w:before="140" w:after="240" w:line="288" w:lineRule="auto"/>
        <w:ind w:left="0" w:right="0"/>
        <w:jc w:val="right"/>
      </w:pPr>
      <w:r>
        <w:rPr>
          <w:rFonts w:ascii="Arial" w:hAnsi="Arial" w:eastAsia="Arial" w:cs="Arial"/>
          <w:color w:val="000000"/>
          <w:sz w:val="20"/>
          <w:szCs w:val="20"/>
        </w:rPr>
        <w:t xml:space="preserve">3-fach</w:t>
      </w:r>
      <w:r>
        <w:rPr>
          <w:rFonts w:ascii="Arial" w:hAnsi="Arial" w:eastAsia="Arial" w:cs="Arial"/>
          <w:color w:val="000000"/>
          <w:sz w:val="20"/>
          <w:szCs w:val="20"/>
        </w:rPr>
        <w:br/>
        <w:t xml:space="preserve">1 HS</w:t>
      </w:r>
    </w:p>
    <w:p>
      <w:pPr>
        <w:widowControl w:val="on"/>
        <w:pBdr/>
        <w:spacing w:before="140" w:after="240" w:line="288" w:lineRule="auto"/>
        <w:ind w:left="0" w:right="0"/>
        <w:jc w:val="left"/>
      </w:pPr>
      <w:r>
        <w:rPr>
          <w:rFonts w:ascii="Arial" w:hAnsi="Arial" w:eastAsia="Arial" w:cs="Arial"/>
          <w:color w:val="000000"/>
          <w:sz w:val="20"/>
          <w:szCs w:val="20"/>
        </w:rPr>
        <w:t xml:space="preserve">Wir sind Miteigentümer der Liegenschaft in 1150 Wien,
Glückauf-Gasse 39, Top 35, 40 und 45. Der Antragsgegner ist
Verwalter der gegenständlichen Liegenschaft.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Offenes Grundbuch</w:t>
            </w:r>
            <w:r>
              <w:rPr>
                <w:rFonts w:ascii="Arial" w:hAnsi="Arial" w:eastAsia="Arial" w:cs="Arial"/>
                <w:color w:val="000000"/>
                <w:position w:val="0"/>
                <w:sz w:val="20"/>
                <w:szCs w:val="20"/>
                <w:shd w:val="clear" w:color="auto" w:fill="FFFFFF"/>
              </w:rPr>
              <w:br/>
              <w:t xml:space="preserve">Vorzulegende Urkunden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Antragsgegner hat uns über die Verwaltung des
gegenständlichen Hauses für das Jahr 2018, 2019 und 2020 die als
Beilage beigeschlossenen Abrechnungen übersandt. Diese erfüllen
jedoch nicht die gesetzlich vorgeschriebenen Erfordernisse.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Abrechnungen für die Jahre 2018, 2019 und 2020</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Rechnungslegung soll den Berechtigen ausreichend Grundlage
liefern, die pflichtgemäße Erfüllung der mit der Verwaltung des
gemeinsamen Eigentums verbundenen Aufgaben anhand der verzeichneten
Einnahmen und Ausgaben unter Heranziehung der zugehörigen Belege
nach den Gesichtspunkten der Rechtmäßigkeit, Wirtschaftlichkeit und
Zweckmäßigkeit zu überprüfen. Damit dieser Zweck erreicht werden
kann, ist es erforderlich, dass die Einnahme- und Ausgabeposten
möglichst detailliert angegeben und aufgeschlüsselt werden und
konkret ausgewiesen wird, wofür und an wen Zahlungen geleistet
wurden und von wem und wofür Geld angenommen wurde. Die einzelnen
Rechtsgeschäfte müssen durch Anführung der Vertragspartner und der
Leistung individualisiert sein. Zur Ermöglichung der Kontrolle
müssen die Belege bezeichnet sein, damit sie in der Belegsammlung,
die entsprechend übersichtlich geführt werden muss, leicht
auffindbar sind (MietSlg 34.542).</w:t>
      </w:r>
    </w:p>
    <w:p>
      <w:pPr>
        <w:widowControl w:val="on"/>
        <w:pBdr/>
        <w:spacing w:before="140" w:after="240" w:line="288" w:lineRule="auto"/>
        <w:ind w:left="0" w:right="0"/>
        <w:jc w:val="left"/>
      </w:pPr>
      <w:r>
        <w:rPr>
          <w:rFonts w:ascii="Arial" w:hAnsi="Arial" w:eastAsia="Arial" w:cs="Arial"/>
          <w:color w:val="000000"/>
          <w:sz w:val="20"/>
          <w:szCs w:val="20"/>
        </w:rPr>
        <w:t xml:space="preserve">Diesen Grundsätzen entsprechen die vorgelegten Abrechnungen in
keiner Weise.</w:t>
      </w:r>
    </w:p>
    <w:p>
      <w:pPr>
        <w:widowControl w:val="on"/>
        <w:pBdr/>
        <w:spacing w:before="140" w:after="240" w:line="288" w:lineRule="auto"/>
        <w:ind w:left="0" w:right="0"/>
        <w:jc w:val="left"/>
      </w:pPr>
      <w:r>
        <w:rPr>
          <w:rFonts w:ascii="Arial" w:hAnsi="Arial" w:eastAsia="Arial" w:cs="Arial"/>
          <w:color w:val="000000"/>
          <w:sz w:val="20"/>
          <w:szCs w:val="20"/>
        </w:rPr>
        <w:t xml:space="preserve">Die Beanstandungen der BK-2018, 2019 und 2020 werden wie folgt
präzisiert:</w:t>
      </w:r>
    </w:p>
    <w:p>
      <w:pPr>
        <w:widowControl w:val="on"/>
        <w:pBdr/>
        <w:spacing w:before="140" w:after="240" w:line="288" w:lineRule="auto"/>
        <w:ind w:left="0" w:right="0"/>
        <w:jc w:val="left"/>
      </w:pPr>
      <w:r>
        <w:rPr>
          <w:rFonts w:ascii="Arial" w:hAnsi="Arial" w:eastAsia="Arial" w:cs="Arial"/>
          <w:color w:val="000000"/>
          <w:sz w:val="20"/>
          <w:szCs w:val="20"/>
        </w:rPr>
        <w:t xml:space="preserve">BK-2018</w:t>
      </w:r>
      <w:r>
        <w:rPr>
          <w:rFonts w:ascii="Arial" w:hAnsi="Arial" w:eastAsia="Arial" w:cs="Arial"/>
          <w:color w:val="000000"/>
          <w:sz w:val="20"/>
          <w:szCs w:val="20"/>
        </w:rPr>
        <w:br/>
        <w:t xml:space="preserve">Für die Positionen „Gerichtskosten“ und „Entrümpelung“ (Belegnummer
130, 140, 200) wurden keine Belege übergeben.</w:t>
      </w:r>
    </w:p>
    <w:p>
      <w:pPr>
        <w:widowControl w:val="on"/>
        <w:pBdr/>
        <w:spacing w:before="140" w:after="240" w:line="288" w:lineRule="auto"/>
        <w:ind w:left="0" w:right="0"/>
        <w:jc w:val="left"/>
      </w:pPr>
      <w:r>
        <w:rPr>
          <w:rFonts w:ascii="Arial" w:hAnsi="Arial" w:eastAsia="Arial" w:cs="Arial"/>
          <w:color w:val="000000"/>
          <w:sz w:val="20"/>
          <w:szCs w:val="20"/>
        </w:rPr>
        <w:t xml:space="preserve">Bei der Position „Waschküche“ fehlen die Daten zur Überprüfung
der Einnahmen. Der Beleg für „Miele Reparatur“ über EUR 145,–
fehlt.</w:t>
      </w:r>
    </w:p>
    <w:p>
      <w:pPr>
        <w:widowControl w:val="on"/>
        <w:pBdr/>
        <w:spacing w:before="140" w:after="240" w:line="288" w:lineRule="auto"/>
        <w:ind w:left="0" w:right="0"/>
        <w:jc w:val="left"/>
      </w:pPr>
      <w:r>
        <w:rPr>
          <w:rFonts w:ascii="Arial" w:hAnsi="Arial" w:eastAsia="Arial" w:cs="Arial"/>
          <w:color w:val="000000"/>
          <w:sz w:val="20"/>
          <w:szCs w:val="20"/>
        </w:rPr>
        <w:t xml:space="preserve">BK-2019</w:t>
      </w:r>
      <w:r>
        <w:rPr>
          <w:rFonts w:ascii="Arial" w:hAnsi="Arial" w:eastAsia="Arial" w:cs="Arial"/>
          <w:color w:val="000000"/>
          <w:sz w:val="20"/>
          <w:szCs w:val="20"/>
        </w:rPr>
        <w:br/>
        <w:t xml:space="preserve">Hier wurden die Positionen der Dachsanierung nicht aufgeschlüsselt,
sodass die einzelnen Reparaturarbeiten und die Beträge nicht
nachvollziehbar sind.</w:t>
      </w:r>
    </w:p>
    <w:p>
      <w:pPr>
        <w:widowControl w:val="on"/>
        <w:pBdr/>
        <w:spacing w:before="140" w:after="240" w:line="288" w:lineRule="auto"/>
        <w:ind w:left="0" w:right="0"/>
        <w:jc w:val="left"/>
      </w:pPr>
      <w:r>
        <w:rPr>
          <w:rFonts w:ascii="Arial" w:hAnsi="Arial" w:eastAsia="Arial" w:cs="Arial"/>
          <w:color w:val="000000"/>
          <w:sz w:val="20"/>
          <w:szCs w:val="20"/>
        </w:rPr>
        <w:t xml:space="preserve">BK-2020</w:t>
      </w:r>
      <w:r>
        <w:rPr>
          <w:rFonts w:ascii="Arial" w:hAnsi="Arial" w:eastAsia="Arial" w:cs="Arial"/>
          <w:color w:val="000000"/>
          <w:sz w:val="20"/>
          <w:szCs w:val="20"/>
        </w:rPr>
        <w:br/>
        <w:t xml:space="preserve">Hier wurden für das 4. Quartal 2020 überhaupt keine Belege zur
Verfügung gestellt.</w:t>
      </w:r>
    </w:p>
    <w:p>
      <w:pPr>
        <w:widowControl w:val="on"/>
        <w:pBdr/>
        <w:spacing w:before="140" w:after="240" w:line="288" w:lineRule="auto"/>
        <w:ind w:left="0" w:right="0"/>
        <w:jc w:val="left"/>
      </w:pPr>
      <w:r>
        <w:rPr>
          <w:rFonts w:ascii="Arial" w:hAnsi="Arial" w:eastAsia="Arial" w:cs="Arial"/>
          <w:color w:val="000000"/>
          <w:sz w:val="20"/>
          <w:szCs w:val="20"/>
        </w:rPr>
        <w:t xml:space="preserve">Nachstehende Beanstandungen betreffen alle angeführten
BK-Abrechnungen: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Stellplätze</w:t>
      </w:r>
    </w:p>
    <w:p>
      <w:pPr>
        <w:widowControl w:val="on"/>
        <w:pBdr/>
        <w:spacing w:before="140" w:after="240" w:line="288" w:lineRule="auto"/>
        <w:ind w:left="0" w:right="0"/>
        <w:jc w:val="left"/>
      </w:pPr>
      <w:r>
        <w:rPr>
          <w:rFonts w:ascii="Arial" w:hAnsi="Arial" w:eastAsia="Arial" w:cs="Arial"/>
          <w:color w:val="000000"/>
          <w:sz w:val="20"/>
          <w:szCs w:val="20"/>
        </w:rPr>
        <w:t xml:space="preserve">Wann und von wem und ob überhaupt die Vorschreibungen bezahlt
wurden, ist nicht ersichtlich.</w:t>
      </w:r>
      <w:r>
        <w:rPr>
          <w:rFonts w:ascii="Arial" w:hAnsi="Arial" w:eastAsia="Arial" w:cs="Arial"/>
          <w:color w:val="000000"/>
          <w:sz w:val="20"/>
          <w:szCs w:val="20"/>
        </w:rPr>
        <w:br/>
        <w:t xml:space="preserve">Da bis heute eine ordnungsgemäße Abrechnung für die Jahre 2018 bis
2020 nicht erfolgt ist, stellen wir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Feststellung der inhaltlichen Unrichtigkeit der
BK-Abrechnungen betreffend die Liegenschaft 1150 Wien,
Glückauf-Straße 39, für die Jahre 2018 bis 2020 und auf
Feststellung des sich aus der Richtigstellung der BK – Abrechnungen
ergebenden Überschuss- oder Fehlbetrags in der Höhe von EUR …
[Betrag].</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535434" w:name="note1"/>
            <w:bookmarkEnd w:id="50535434"/>
            <w:bookmarkStart w:id="5888873605242" w:name="note1"/>
            <w:r>
              <w:rPr>
                <w:rFonts w:ascii="Arial" w:hAnsi="Arial" w:eastAsia="Arial" w:cs="Arial"/>
                <w:b/>
                <w:bCs/>
                <w:color w:val="000000"/>
                <w:position w:val="0"/>
                <w:sz w:val="20"/>
                <w:szCs w:val="20"/>
              </w:rPr>
              <w:t xml:space="preserve">[1]</w:t>
            </w:r>
            <w:bookmarkEnd w:id="588887360524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vom Gesetz vorgegebene Abrechnungsperiode ist das
Kalenderjahr. Der Verwalter ist verpflichtet, die Abrechnung jedem
Wohnungseigentümer binnen sechs Monaten nach Ablauf der
Abrechnungsperiode zu übermitteln. Eine Verlängerung oder
Verkürzung der Frist durch Vereinbarung ist unzulässig (§ 34
Abs 1 WEG 2002). Die Abrechnung ist innerhalb der
Abrechnungsfrist an jeden einzelnen Wohnungseigentümer an die
Zustellfristen des § 24 Abs 5 zu übersenden. Eine
Übersendung per Telefax oder E-Mail kann stattfinden, wenn das
zwischen dem Verwalter und dem jeweiligen Wohnungseigentümer
vereinbart ist (1050 BlgNr 21. GP,14).</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094359" w:name="note2"/>
            <w:bookmarkEnd w:id="60094359"/>
            <w:bookmarkStart w:id="5857289626162" w:name="note2"/>
            <w:r>
              <w:rPr>
                <w:rFonts w:ascii="Arial" w:hAnsi="Arial" w:eastAsia="Arial" w:cs="Arial"/>
                <w:b/>
                <w:bCs/>
                <w:color w:val="000000"/>
                <w:position w:val="0"/>
                <w:sz w:val="20"/>
                <w:szCs w:val="20"/>
              </w:rPr>
              <w:t xml:space="preserve">[2]</w:t>
            </w:r>
            <w:bookmarkEnd w:id="58572896261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Abrechnung hat alle die Liegenschaft betreffenden
Geldflüsse zu bezeichnen, den Verwendungszweck, alle Einnahmen- und
Ausgabenposten detailliert anzugeben, damit der einzelne
Wohnungseigentümer die ziffernmäßige Richtigkeit kontrollieren
kann.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die Abrechnung im Sinne des WEG eine
Einnahmen-Ausgaben-Rechnung zu sein hat, ist es unerlässlich, auch
in die Zahlungsbelege und Kontoauszüge Einsicht zu nehmen, da nur
so die tatsächlichen Zahlungsflüsse überprüft und nachvollzogen
werden können. Die Abrechnung und die Belegsammlung sind als
Einheit zu sehen und gemeinsam zu kontrollieren.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Durchsetzung des Anspruchs auf Rechnungslegung kann durch
jeden Miteigentümer erfolgen.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412440" w:name="note3"/>
            <w:bookmarkEnd w:id="36412440"/>
            <w:bookmarkStart w:id="3607002055260" w:name="note3"/>
            <w:r>
              <w:rPr>
                <w:rFonts w:ascii="Arial" w:hAnsi="Arial" w:eastAsia="Arial" w:cs="Arial"/>
                <w:b/>
                <w:bCs/>
                <w:color w:val="000000"/>
                <w:position w:val="0"/>
                <w:sz w:val="20"/>
                <w:szCs w:val="20"/>
              </w:rPr>
              <w:t xml:space="preserve">[3]</w:t>
            </w:r>
            <w:bookmarkEnd w:id="360700205526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Anspruch auf Legung einer ordentlichen und richtigen
Abrechnung verjährt gem § 34 Abs 1 WEG innerhalb von
drei Jahren ab dem Ende der Abrechnungsfrist. Ordnungsgemäß ist
eine Abrechnung dann, wenn sie formell vollständig ist. Insgesamt
muss die Abrechnung so übersichtlich und klar sein, dass sie von
einem Wohnungseigentümer von durchschnittlicher Intelligenz und
Bildung verstanden wird. Abkürzungen und Symbole müssen erläutert
werden. Bei der Umsatzsteuer reicht es aus, wenn in der Abrechnung
die vorsteuerentlastenden Ausgaben angeführt werden und die
Umsatzsteuer in einem Gesamtbetrag ausgeworfen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457573" w:name="note4"/>
            <w:bookmarkEnd w:id="66457573"/>
            <w:bookmarkStart w:id="5245902587897" w:name="note4"/>
            <w:r>
              <w:rPr>
                <w:rFonts w:ascii="Arial" w:hAnsi="Arial" w:eastAsia="Arial" w:cs="Arial"/>
                <w:b/>
                <w:bCs/>
                <w:color w:val="000000"/>
                <w:position w:val="0"/>
                <w:sz w:val="20"/>
                <w:szCs w:val="20"/>
              </w:rPr>
              <w:t xml:space="preserve">[4]</w:t>
            </w:r>
            <w:bookmarkEnd w:id="524590258789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Besteht der Mangel der Abrechnung nur in einer inhaltlichen
Unrichtigkeit, so hat sich gem § 34 Abs 3 WEG die
gerichtliche Entscheidung auf die Feststellung der Unrichtigkeit
sowie des sich aus der Richtigstellung ergebenden Überschuss- oder
Fehlbetrags zu beschränken. Richtig ist eine Abrechnung dann, wenn
es sich um ein in sich schlüssiges, also rechnerisch richtiges
Zahlenwerk handelt, jede Abrechnungsposition ordnungsgemäß belegt
ist und das Abrechnungsergebnis entsprechend dem für die
Liegenschaft geltenden Aufteilungsschlüssel richtig verteilt
ist.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94107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6043193">
    <w:multiLevelType w:val="hybridMultilevel"/>
    <w:lvl w:ilvl="0" w:tplc="45466371">
      <w:start w:val="1"/>
      <w:numFmt w:val="decimal"/>
      <w:lvlText w:val="%1."/>
      <w:lvlJc w:val="left"/>
      <w:pPr>
        <w:ind w:left="720" w:hanging="360"/>
      </w:pPr>
    </w:lvl>
    <w:lvl w:ilvl="1" w:tplc="45466371" w:tentative="1">
      <w:start w:val="1"/>
      <w:numFmt w:val="lowerLetter"/>
      <w:lvlText w:val="%2."/>
      <w:lvlJc w:val="left"/>
      <w:pPr>
        <w:ind w:left="1440" w:hanging="360"/>
      </w:pPr>
    </w:lvl>
    <w:lvl w:ilvl="2" w:tplc="45466371" w:tentative="1">
      <w:start w:val="1"/>
      <w:numFmt w:val="lowerRoman"/>
      <w:lvlText w:val="%3."/>
      <w:lvlJc w:val="right"/>
      <w:pPr>
        <w:ind w:left="2160" w:hanging="180"/>
      </w:pPr>
    </w:lvl>
    <w:lvl w:ilvl="3" w:tplc="45466371" w:tentative="1">
      <w:start w:val="1"/>
      <w:numFmt w:val="decimal"/>
      <w:lvlText w:val="%4."/>
      <w:lvlJc w:val="left"/>
      <w:pPr>
        <w:ind w:left="2880" w:hanging="360"/>
      </w:pPr>
    </w:lvl>
    <w:lvl w:ilvl="4" w:tplc="45466371" w:tentative="1">
      <w:start w:val="1"/>
      <w:numFmt w:val="lowerLetter"/>
      <w:lvlText w:val="%5."/>
      <w:lvlJc w:val="left"/>
      <w:pPr>
        <w:ind w:left="3600" w:hanging="360"/>
      </w:pPr>
    </w:lvl>
    <w:lvl w:ilvl="5" w:tplc="45466371" w:tentative="1">
      <w:start w:val="1"/>
      <w:numFmt w:val="lowerRoman"/>
      <w:lvlText w:val="%6."/>
      <w:lvlJc w:val="right"/>
      <w:pPr>
        <w:ind w:left="4320" w:hanging="180"/>
      </w:pPr>
    </w:lvl>
    <w:lvl w:ilvl="6" w:tplc="45466371" w:tentative="1">
      <w:start w:val="1"/>
      <w:numFmt w:val="decimal"/>
      <w:lvlText w:val="%7."/>
      <w:lvlJc w:val="left"/>
      <w:pPr>
        <w:ind w:left="5040" w:hanging="360"/>
      </w:pPr>
    </w:lvl>
    <w:lvl w:ilvl="7" w:tplc="45466371" w:tentative="1">
      <w:start w:val="1"/>
      <w:numFmt w:val="lowerLetter"/>
      <w:lvlText w:val="%8."/>
      <w:lvlJc w:val="left"/>
      <w:pPr>
        <w:ind w:left="5760" w:hanging="360"/>
      </w:pPr>
    </w:lvl>
    <w:lvl w:ilvl="8" w:tplc="45466371" w:tentative="1">
      <w:start w:val="1"/>
      <w:numFmt w:val="lowerRoman"/>
      <w:lvlText w:val="%9."/>
      <w:lvlJc w:val="right"/>
      <w:pPr>
        <w:ind w:left="6480" w:hanging="180"/>
      </w:pPr>
    </w:lvl>
  </w:abstractNum>
  <w:abstractNum w:abstractNumId="20259445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6043192">
    <w:multiLevelType w:val="hybridMultilevel"/>
    <w:lvl w:ilvl="0" w:tplc="95749486">
      <w:start w:val="1"/>
      <w:numFmt w:val="decimal"/>
      <w:lvlText w:val="%1."/>
      <w:lvlJc w:val="left"/>
      <w:pPr>
        <w:ind w:left="720" w:hanging="360"/>
      </w:pPr>
    </w:lvl>
    <w:lvl w:ilvl="1" w:tplc="95749486" w:tentative="1">
      <w:start w:val="1"/>
      <w:numFmt w:val="lowerLetter"/>
      <w:lvlText w:val="%2."/>
      <w:lvlJc w:val="left"/>
      <w:pPr>
        <w:ind w:left="1440" w:hanging="360"/>
      </w:pPr>
    </w:lvl>
    <w:lvl w:ilvl="2" w:tplc="95749486" w:tentative="1">
      <w:start w:val="1"/>
      <w:numFmt w:val="lowerRoman"/>
      <w:lvlText w:val="%3."/>
      <w:lvlJc w:val="right"/>
      <w:pPr>
        <w:ind w:left="2160" w:hanging="180"/>
      </w:pPr>
    </w:lvl>
    <w:lvl w:ilvl="3" w:tplc="95749486" w:tentative="1">
      <w:start w:val="1"/>
      <w:numFmt w:val="decimal"/>
      <w:lvlText w:val="%4."/>
      <w:lvlJc w:val="left"/>
      <w:pPr>
        <w:ind w:left="2880" w:hanging="360"/>
      </w:pPr>
    </w:lvl>
    <w:lvl w:ilvl="4" w:tplc="95749486" w:tentative="1">
      <w:start w:val="1"/>
      <w:numFmt w:val="lowerLetter"/>
      <w:lvlText w:val="%5."/>
      <w:lvlJc w:val="left"/>
      <w:pPr>
        <w:ind w:left="3600" w:hanging="360"/>
      </w:pPr>
    </w:lvl>
    <w:lvl w:ilvl="5" w:tplc="95749486" w:tentative="1">
      <w:start w:val="1"/>
      <w:numFmt w:val="lowerRoman"/>
      <w:lvlText w:val="%6."/>
      <w:lvlJc w:val="right"/>
      <w:pPr>
        <w:ind w:left="4320" w:hanging="180"/>
      </w:pPr>
    </w:lvl>
    <w:lvl w:ilvl="6" w:tplc="95749486" w:tentative="1">
      <w:start w:val="1"/>
      <w:numFmt w:val="decimal"/>
      <w:lvlText w:val="%7."/>
      <w:lvlJc w:val="left"/>
      <w:pPr>
        <w:ind w:left="5040" w:hanging="360"/>
      </w:pPr>
    </w:lvl>
    <w:lvl w:ilvl="7" w:tplc="95749486" w:tentative="1">
      <w:start w:val="1"/>
      <w:numFmt w:val="lowerLetter"/>
      <w:lvlText w:val="%8."/>
      <w:lvlJc w:val="left"/>
      <w:pPr>
        <w:ind w:left="5760" w:hanging="360"/>
      </w:pPr>
    </w:lvl>
    <w:lvl w:ilvl="8" w:tplc="95749486" w:tentative="1">
      <w:start w:val="1"/>
      <w:numFmt w:val="lowerRoman"/>
      <w:lvlText w:val="%9."/>
      <w:lvlJc w:val="right"/>
      <w:pPr>
        <w:ind w:left="6480" w:hanging="180"/>
      </w:pPr>
    </w:lvl>
  </w:abstractNum>
  <w:abstractNum w:abstractNumId="26043191">
    <w:multiLevelType w:val="hybridMultilevel"/>
    <w:lvl w:ilvl="0" w:tplc="12329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43191">
    <w:abstractNumId w:val="26043191"/>
  </w:num>
  <w:num w:numId="26043192">
    <w:abstractNumId w:val="26043192"/>
  </w:num>
  <w:num w:numId="202594454">
    <w:abstractNumId w:val="202594454"/>
  </w:num>
  <w:num w:numId="26043193">
    <w:abstractNumId w:val="26043193"/>
  </w:num>
  <w:num w:numId="176941071">
    <w:abstractNumId w:val="1769410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07307790" Type="http://schemas.openxmlformats.org/officeDocument/2006/relationships/numbering" Target="numbering.xml"/><Relationship Id="rId23542793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