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2961727" w:name="document"/>
    <w:bookmarkEnd w:id="82961727"/>
    <w:p/>
    <w:p>
      <w:pPr>
        <w:widowControl w:val="on"/>
        <w:pBdr/>
        <w:spacing w:before="0" w:after="280" w:line="240" w:lineRule="auto"/>
        <w:ind w:left="0" w:right="0"/>
        <w:jc w:val="left"/>
      </w:pPr>
      <w:r>
        <w:rPr>
          <w:rFonts w:ascii="Arial" w:hAnsi="Arial" w:eastAsia="Arial" w:cs="Arial"/>
          <w:color w:val="363A40"/>
          <w:sz w:val="24"/>
          <w:szCs w:val="24"/>
        </w:rPr>
        <w:t xml:space="preserve">Dokument-ID: 627402 | Wolfgang Steinberger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(Eigentumswohnung: Energieausweis, ImmoESt,
Insolvenzklausel)</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center"/>
      </w:pPr>
      <w:r>
        <w:rPr>
          <w:rFonts w:ascii="Arial" w:hAnsi="Arial" w:eastAsia="Arial" w:cs="Arial"/>
          <w:color w:val="000000"/>
          <w:sz w:val="20"/>
          <w:szCs w:val="20"/>
        </w:rPr>
        <w:t xml:space="preserve">Dr. Herbert Trauner</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Währinger Straße 14</w:t>
      </w:r>
      <w:r>
        <w:rPr>
          <w:rFonts w:ascii="Arial" w:hAnsi="Arial" w:eastAsia="Arial" w:cs="Arial"/>
          <w:color w:val="000000"/>
          <w:sz w:val="20"/>
          <w:szCs w:val="20"/>
        </w:rPr>
        <w:br/>
        <w:t xml:space="preserve">1180 Wien</w:t>
      </w:r>
    </w:p>
    <w:p>
      <w:pPr>
        <w:widowControl w:val="on"/>
        <w:pBdr/>
        <w:spacing w:before="140" w:after="240" w:line="288" w:lineRule="auto"/>
        <w:ind w:left="0" w:right="0"/>
        <w:jc w:val="center"/>
      </w:pPr>
      <w:r>
        <w:rPr>
          <w:rFonts w:ascii="Arial" w:hAnsi="Arial" w:eastAsia="Arial" w:cs="Arial"/>
          <w:color w:val="000000"/>
          <w:sz w:val="20"/>
          <w:szCs w:val="20"/>
        </w:rPr>
        <w:t xml:space="preserve">im Folgenden kurz „Verkäufer“
genannt, einerseits</w:t>
      </w:r>
    </w:p>
    <w:p>
      <w:pPr>
        <w:widowControl w:val="on"/>
        <w:pBdr/>
        <w:spacing w:before="140" w:after="240" w:line="288" w:lineRule="auto"/>
        <w:ind w:left="0" w:right="0"/>
        <w:jc w:val="center"/>
      </w:pPr>
      <w:r>
        <w:rPr>
          <w:rFonts w:ascii="Arial" w:hAnsi="Arial" w:eastAsia="Arial" w:cs="Arial"/>
          <w:color w:val="000000"/>
          <w:sz w:val="20"/>
          <w:szCs w:val="20"/>
        </w:rPr>
        <w:t xml:space="preserve">sowie</w:t>
      </w:r>
    </w:p>
    <w:p>
      <w:pPr>
        <w:widowControl w:val="on"/>
        <w:pBdr/>
        <w:spacing w:before="140" w:after="240" w:line="288" w:lineRule="auto"/>
        <w:ind w:left="0" w:right="0"/>
        <w:jc w:val="center"/>
      </w:pPr>
      <w:r>
        <w:rPr>
          <w:rFonts w:ascii="Arial" w:hAnsi="Arial" w:eastAsia="Arial" w:cs="Arial"/>
          <w:color w:val="000000"/>
          <w:sz w:val="20"/>
          <w:szCs w:val="20"/>
        </w:rPr>
        <w:t xml:space="preserve">DI Martin Olbricht</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Brigittaplatz 2A</w:t>
      </w:r>
      <w:r>
        <w:rPr>
          <w:rFonts w:ascii="Arial" w:hAnsi="Arial" w:eastAsia="Arial" w:cs="Arial"/>
          <w:color w:val="000000"/>
          <w:sz w:val="20"/>
          <w:szCs w:val="20"/>
        </w:rPr>
        <w:br/>
        <w:t xml:space="preserve">1200 Wien</w:t>
      </w:r>
    </w:p>
    <w:p>
      <w:pPr>
        <w:widowControl w:val="on"/>
        <w:pBdr/>
        <w:spacing w:before="140" w:after="240" w:line="288" w:lineRule="auto"/>
        <w:ind w:left="0" w:right="0"/>
        <w:jc w:val="center"/>
      </w:pPr>
      <w:r>
        <w:rPr>
          <w:rFonts w:ascii="Arial" w:hAnsi="Arial" w:eastAsia="Arial" w:cs="Arial"/>
          <w:color w:val="000000"/>
          <w:sz w:val="20"/>
          <w:szCs w:val="20"/>
        </w:rPr>
        <w:t xml:space="preserve">im Folgenden kurz „Käufer“ genannt,
andererseits</w:t>
      </w:r>
    </w:p>
    <w:p>
      <w:pPr>
        <w:widowControl w:val="on"/>
        <w:pBdr/>
        <w:spacing w:before="140" w:after="240" w:line="288" w:lineRule="auto"/>
        <w:ind w:left="0" w:right="0"/>
        <w:jc w:val="center"/>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Dem gegenständlichen Kaufvertrag liegt folgender Grundbuchstand
zugrunde:</w:t>
      </w:r>
    </w:p>
    <w:p>
      <w:pPr>
        <w:widowControl w:val="on"/>
        <w:pBdr/>
        <w:spacing w:before="140" w:after="240" w:line="288" w:lineRule="auto"/>
        <w:ind w:left="0" w:right="0"/>
        <w:jc w:val="left"/>
      </w:pPr>
      <w:r>
        <w:rPr>
          <w:rFonts w:ascii="Arial" w:hAnsi="Arial" w:eastAsia="Arial" w:cs="Arial"/>
          <w:color w:val="000000"/>
          <w:sz w:val="20"/>
          <w:szCs w:val="20"/>
        </w:rPr>
        <w:t xml:space="preserve">Auszug aus dem Hauptbuch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01006 Landstraße</w:t>
            </w:r>
            <w:r>
              <w:rPr>
                <w:rFonts w:ascii="Arial" w:hAnsi="Arial" w:eastAsia="Arial" w:cs="Arial"/>
                <w:color w:val="000000"/>
                <w:position w:val="0"/>
                <w:sz w:val="20"/>
                <w:szCs w:val="20"/>
                <w:shd w:val="clear" w:color="auto" w:fill="FFFFFF"/>
              </w:rPr>
              <w:br/>
              <w:t xml:space="preserve">BEZIRKSGERICHT Innere Stadt Wien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316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Eingeschränkter Auszug</w:t>
            </w:r>
            <w:r>
              <w:rPr>
                <w:rFonts w:ascii="Arial" w:hAnsi="Arial" w:eastAsia="Arial" w:cs="Arial"/>
                <w:color w:val="000000"/>
                <w:position w:val="0"/>
                <w:sz w:val="20"/>
                <w:szCs w:val="20"/>
                <w:shd w:val="clear" w:color="auto" w:fill="FFFFFF"/>
              </w:rPr>
              <w:br/>
              <w:t xml:space="preserve">B-Blatt eingeschränkt auf Eigentümernamen</w:t>
            </w:r>
            <w:r>
              <w:rPr>
                <w:rFonts w:ascii="Arial" w:hAnsi="Arial" w:eastAsia="Arial" w:cs="Arial"/>
                <w:color w:val="000000"/>
                <w:position w:val="0"/>
                <w:sz w:val="20"/>
                <w:szCs w:val="20"/>
                <w:shd w:val="clear" w:color="auto" w:fill="FFFFFF"/>
              </w:rPr>
              <w:br/>
              <w:t xml:space="preserve">Name 1: Trauner</w:t>
            </w:r>
            <w:r>
              <w:rPr>
                <w:rFonts w:ascii="Arial" w:hAnsi="Arial" w:eastAsia="Arial" w:cs="Arial"/>
                <w:color w:val="000000"/>
                <w:position w:val="0"/>
                <w:sz w:val="20"/>
                <w:szCs w:val="20"/>
                <w:shd w:val="clear" w:color="auto" w:fill="FFFFFF"/>
              </w:rPr>
              <w:br/>
              <w:t xml:space="preserve">Vorname 1: Herbert</w:t>
            </w:r>
            <w:r>
              <w:rPr>
                <w:rFonts w:ascii="Arial" w:hAnsi="Arial" w:eastAsia="Arial" w:cs="Arial"/>
                <w:color w:val="000000"/>
                <w:position w:val="0"/>
                <w:sz w:val="20"/>
                <w:szCs w:val="20"/>
                <w:shd w:val="clear" w:color="auto" w:fill="FFFFFF"/>
              </w:rPr>
              <w:br/>
              <w:t xml:space="preserve">C-Blatt eingeschränkt auf Belastungen für das angezeigte
B-Blatt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4812/2013</w:t>
            </w:r>
            <w:r>
              <w:rPr>
                <w:rFonts w:ascii="Arial" w:hAnsi="Arial" w:eastAsia="Arial" w:cs="Arial"/>
                <w:color w:val="000000"/>
                <w:position w:val="0"/>
                <w:sz w:val="20"/>
                <w:szCs w:val="20"/>
                <w:shd w:val="clear" w:color="auto" w:fill="FFFFFF"/>
              </w:rPr>
              <w:br/>
              <w:t xml:space="preserve">WOHNUNGSEIGENTUM</w:t>
            </w:r>
            <w:r>
              <w:rPr>
                <w:rFonts w:ascii="Arial" w:hAnsi="Arial" w:eastAsia="Arial" w:cs="Arial"/>
                <w:color w:val="000000"/>
                <w:position w:val="0"/>
                <w:sz w:val="20"/>
                <w:szCs w:val="20"/>
                <w:shd w:val="clear" w:color="auto" w:fill="FFFFFF"/>
              </w:rPr>
              <w:br/>
              <w:t xml:space="preserve">Einlage umgeschrieben gemäß Verordnung BGBl II, 143/2012 am
07.05.2012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Fasangasse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Verwalter: AX Immobilienverwaltungs GmbH, 1010 Wien, Renngasse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79/4272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Herbert Trauner</w:t>
            </w:r>
            <w:r>
              <w:rPr>
                <w:rFonts w:ascii="Arial" w:hAnsi="Arial" w:eastAsia="Arial" w:cs="Arial"/>
                <w:color w:val="000000"/>
                <w:position w:val="0"/>
                <w:sz w:val="20"/>
                <w:szCs w:val="20"/>
                <w:shd w:val="clear" w:color="auto" w:fill="FFFFFF"/>
              </w:rPr>
              <w:br/>
              <w:t xml:space="preserve">GEB: … ADR: Währinger Straße 14, 1180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3379/1998 Kaufvertrag 1997-07-17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Berichtigung des Grundbuches gem § 136 GBG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Wohnungseigentum an W 16</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7856/1997 Pfandurkunde 1997-07-17</w:t>
            </w:r>
            <w:r>
              <w:rPr>
                <w:rFonts w:ascii="Arial" w:hAnsi="Arial" w:eastAsia="Arial" w:cs="Arial"/>
                <w:color w:val="000000"/>
                <w:position w:val="0"/>
                <w:sz w:val="20"/>
                <w:szCs w:val="20"/>
                <w:shd w:val="clear" w:color="auto" w:fill="FFFFFF"/>
              </w:rPr>
              <w:br/>
              <w:t xml:space="preserve">PFANDRECHT Höchstbetrag EUR 32,000.000,–</w:t>
            </w:r>
            <w:r>
              <w:rPr>
                <w:rFonts w:ascii="Arial" w:hAnsi="Arial" w:eastAsia="Arial" w:cs="Arial"/>
                <w:color w:val="000000"/>
                <w:position w:val="0"/>
                <w:sz w:val="20"/>
                <w:szCs w:val="20"/>
                <w:shd w:val="clear" w:color="auto" w:fill="FFFFFF"/>
              </w:rPr>
              <w:br/>
              <w:t xml:space="preserve">Für Volksbank Wien registrierte</w:t>
            </w:r>
            <w:r>
              <w:rPr>
                <w:rFonts w:ascii="Arial" w:hAnsi="Arial" w:eastAsia="Arial" w:cs="Arial"/>
                <w:color w:val="000000"/>
                <w:position w:val="0"/>
                <w:sz w:val="20"/>
                <w:szCs w:val="20"/>
                <w:shd w:val="clear" w:color="auto" w:fill="FFFFFF"/>
              </w:rPr>
              <w:br/>
              <w:t xml:space="preserve">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Vereinbarung über die Aufteilung der
Aufwendungen</w:t>
            </w:r>
            <w:r>
              <w:rPr>
                <w:rFonts w:ascii="Arial" w:hAnsi="Arial" w:eastAsia="Arial" w:cs="Arial"/>
                <w:color w:val="000000"/>
                <w:position w:val="0"/>
                <w:sz w:val="20"/>
                <w:szCs w:val="20"/>
                <w:shd w:val="clear" w:color="auto" w:fill="FFFFFF"/>
              </w:rPr>
              <w:br/>
              <w:t xml:space="preserve">Gem § 19 WEG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Benützungsregelung gemäß
Wohnungseigentumsvertrag</w:t>
            </w:r>
            <w:r>
              <w:rPr>
                <w:rFonts w:ascii="Arial" w:hAnsi="Arial" w:eastAsia="Arial" w:cs="Arial"/>
                <w:color w:val="000000"/>
                <w:position w:val="0"/>
                <w:sz w:val="20"/>
                <w:szCs w:val="20"/>
                <w:shd w:val="clear" w:color="auto" w:fill="FFFFFF"/>
              </w:rPr>
              <w:br/>
              <w:t xml:space="preserve">2000-05-23 gem § 15 WEG</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r>
        <w:rPr>
          <w:rFonts w:ascii="Arial" w:hAnsi="Arial" w:eastAsia="Arial" w:cs="Arial"/>
          <w:color w:val="000000"/>
          <w:sz w:val="20"/>
          <w:szCs w:val="20"/>
        </w:rPr>
        <w:br/>
        <w:t xml:space="preserve">Eintragungen ohne Währungsbezeichnung sind Beträge in ATS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Der Verkäufer ist zu 79/4272 Anteilen bücherlicher Eigentümer
der Liegenschaft EZ 316, Grundbuch 01006 Landstraße, Grundbuch
Innere Stadt, bestehend aus dem Grundstück Nr 680, Baufl
(Gebäude), mit der Grundstücksadresse Fasangasse 3, 1030 Wien, mit
welchen Anteilen das Wohnungseigentum an Wohnung W 16 (B-LNR 24)
untrennbar verbunden ist. Entsprechend dem Wohnungseigentumsvertrag
vom … und dem Nutzwertgutachten vom … bestehen die 79/4272 Anteile
aus einer Wohnung im Dachgeschoß mit einer Nutzfläche von 49,50 m²,
einer Terrasse mit einer Nutzfläche von 5,20 m², einer Dachterrasse
(abzüglich Rauchfangkehrersteg) mit einer Nutzfläche von 22,10 m²,
einem Kellerabteil mit einer Nutzfläche von 3,29 m² sowie dem
Pkw-Abstellplatz (Garage) mit der Nummer 4, mit einer Nutzfläche
von 12,50 m². Ausgestattet ist die Wohnung mit 2 Zimmern, einer
Küche, einem Vorraum, einem Abstellraum, einem Bad und einem
WC.</w:t>
      </w:r>
    </w:p>
    <w:p>
      <w:pPr>
        <w:widowControl w:val="on"/>
        <w:pBdr/>
        <w:spacing w:before="140" w:after="240" w:line="288" w:lineRule="auto"/>
        <w:ind w:left="0" w:right="0"/>
        <w:jc w:val="left"/>
      </w:pPr>
      <w:r>
        <w:rPr>
          <w:rFonts w:ascii="Arial" w:hAnsi="Arial" w:eastAsia="Arial" w:cs="Arial"/>
          <w:color w:val="000000"/>
          <w:sz w:val="20"/>
          <w:szCs w:val="20"/>
        </w:rPr>
        <w:t xml:space="preserve">Auf dem kaufgegenständlichen Objekt sind nachstehende Lasten
grundbücherlich einverleibt:</w:t>
      </w:r>
    </w:p>
    <w:p>
      <w:pPr>
        <w:widowControl w:val="on"/>
        <w:pBdr/>
        <w:spacing w:before="140" w:after="240" w:line="288" w:lineRule="auto"/>
        <w:ind w:left="0" w:right="0"/>
        <w:jc w:val="left"/>
      </w:pPr>
      <w:r>
        <w:rPr>
          <w:rFonts w:ascii="Arial" w:hAnsi="Arial" w:eastAsia="Arial" w:cs="Arial"/>
          <w:color w:val="000000"/>
          <w:sz w:val="20"/>
          <w:szCs w:val="20"/>
        </w:rPr>
        <w:t xml:space="preserve">Auszug aus dem Hauptbuch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01006 Landstraße</w:t>
            </w:r>
            <w:r>
              <w:rPr>
                <w:rFonts w:ascii="Arial" w:hAnsi="Arial" w:eastAsia="Arial" w:cs="Arial"/>
                <w:color w:val="000000"/>
                <w:position w:val="0"/>
                <w:sz w:val="20"/>
                <w:szCs w:val="20"/>
                <w:shd w:val="clear" w:color="auto" w:fill="FFFFFF"/>
              </w:rPr>
              <w:br/>
              <w:t xml:space="preserve">BEZIRKSGERICHT Innere Stadt Wien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316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Eingeschränkter Auszug</w:t>
            </w:r>
            <w:r>
              <w:rPr>
                <w:rFonts w:ascii="Arial" w:hAnsi="Arial" w:eastAsia="Arial" w:cs="Arial"/>
                <w:color w:val="000000"/>
                <w:position w:val="0"/>
                <w:sz w:val="20"/>
                <w:szCs w:val="20"/>
                <w:shd w:val="clear" w:color="auto" w:fill="FFFFFF"/>
              </w:rPr>
              <w:br/>
              <w:t xml:space="preserve">ohne B-Blatt</w:t>
            </w:r>
            <w:r>
              <w:rPr>
                <w:rFonts w:ascii="Arial" w:hAnsi="Arial" w:eastAsia="Arial" w:cs="Arial"/>
                <w:color w:val="000000"/>
                <w:position w:val="0"/>
                <w:sz w:val="20"/>
                <w:szCs w:val="20"/>
                <w:shd w:val="clear" w:color="auto" w:fill="FFFFFF"/>
              </w:rPr>
              <w:br/>
              <w:t xml:space="preserve">C-Blatt eingeschränkt auf die Laufnummer(n) 14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4812/2013</w:t>
            </w:r>
            <w:r>
              <w:rPr>
                <w:rFonts w:ascii="Arial" w:hAnsi="Arial" w:eastAsia="Arial" w:cs="Arial"/>
                <w:color w:val="000000"/>
                <w:position w:val="0"/>
                <w:sz w:val="20"/>
                <w:szCs w:val="20"/>
                <w:shd w:val="clear" w:color="auto" w:fill="FFFFFF"/>
              </w:rPr>
              <w:br/>
              <w:t xml:space="preserve">WOHNUNGSEIGENTUM</w:t>
            </w:r>
            <w:r>
              <w:rPr>
                <w:rFonts w:ascii="Arial" w:hAnsi="Arial" w:eastAsia="Arial" w:cs="Arial"/>
                <w:color w:val="000000"/>
                <w:position w:val="0"/>
                <w:sz w:val="20"/>
                <w:szCs w:val="20"/>
                <w:shd w:val="clear" w:color="auto" w:fill="FFFFFF"/>
              </w:rPr>
              <w:br/>
              <w:t xml:space="preserve">Einlage umgeschrieben gemäß Verordnung BGBl II, 143/2012 am
07.05.2012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Fasangasse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Verwalter: AX Immobilienverwaltungs GmbH, 1010 Wien, Renngasse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7856/1997 Pfandurkunde 1997-07-17</w:t>
            </w:r>
            <w:r>
              <w:rPr>
                <w:rFonts w:ascii="Arial" w:hAnsi="Arial" w:eastAsia="Arial" w:cs="Arial"/>
                <w:color w:val="000000"/>
                <w:position w:val="0"/>
                <w:sz w:val="20"/>
                <w:szCs w:val="20"/>
                <w:shd w:val="clear" w:color="auto" w:fill="FFFFFF"/>
              </w:rPr>
              <w:br/>
              <w:t xml:space="preserve">PFANDRECHT Höchstbetrag EUR 32,000.000,–</w:t>
            </w:r>
            <w:r>
              <w:rPr>
                <w:rFonts w:ascii="Arial" w:hAnsi="Arial" w:eastAsia="Arial" w:cs="Arial"/>
                <w:color w:val="000000"/>
                <w:position w:val="0"/>
                <w:sz w:val="20"/>
                <w:szCs w:val="20"/>
                <w:shd w:val="clear" w:color="auto" w:fill="FFFFFF"/>
              </w:rPr>
              <w:br/>
              <w:t xml:space="preserve">Für Volksbank Wien registrierte</w:t>
            </w:r>
            <w:r>
              <w:rPr>
                <w:rFonts w:ascii="Arial" w:hAnsi="Arial" w:eastAsia="Arial" w:cs="Arial"/>
                <w:color w:val="000000"/>
                <w:position w:val="0"/>
                <w:sz w:val="20"/>
                <w:szCs w:val="20"/>
                <w:shd w:val="clear" w:color="auto" w:fill="FFFFFF"/>
              </w:rPr>
              <w:br/>
              <w:t xml:space="preserve">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r>
        <w:rPr>
          <w:rFonts w:ascii="Arial" w:hAnsi="Arial" w:eastAsia="Arial" w:cs="Arial"/>
          <w:color w:val="000000"/>
          <w:sz w:val="20"/>
          <w:szCs w:val="20"/>
        </w:rPr>
        <w:br/>
        <w:t xml:space="preserve">Eintragungen ohne Währungsbezeichnung sind Beträge in ATS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Der Käufer übernimmt die angeführte Last nicht. Bezüglich der
unter C-LNR 14c eingetragenen Last verpflichtet sich der Verkäufer,
die in Bezug auf die B-LNR 24 für die Löschung des Pfandrechts
notwendige grundbuchsfähige Löschungserklärung nach den näheren
Bestimmungen gemäß Punkt III.3 beizubringen.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verkauft und übergibt und der Käufer kauft und
übernimmt von dem Verkäufer die unter Punkt I. näher bezeichneten
Liegenschaftsanteile, verbunden mit Wohnungseigentum an der Wohnung
W 16 (B-LNR 24) samt allem rechtlichen und faktischen Zubehör
jeweils samt allen Rechten und Pflichten, so wie der Verkäufer den
Kaufgegenstand bisher besessen und benützt hat oder doch zu
besitzen und zu benützen berechtigt war, zum allseits vereinbarten
und für angemessen befundenen Kaufpreis für den gesamten
Kaufgegenstand in Höhe von insgesamt EUR 300.000,– (in Worten:
Dreihunderttausend Euro). Der Kaufpreis wird gemäß den Bestimmungen
in Punkt III. beglichen. Die Übergabe erfolgt wie unten in Punkt
IV.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Käufer verpflichtet sich, bis längstens am Tag der
Vertragsunterzeichnung den für die Grunderwerbsteuer
voraussichtlich zu entrichtenden Betrag von 3,5 % des
Kaufpreises, das sind EUR 10.500,– sowie den für die
Eintragungsgebühr voraussichtlich zu entrichtenden Betrag von
1,1 % des Kaufpreises, das sind EUR 3.300,–, sohin
insgesamt (4,6 %) EUR 13.800,–, auf das vom Treuhänder
bei der X Bank AG ständig eingerichtete Treuhand-Anderkonto
(Kontoinhaber Meier, Huber und Partner Rechtsanwälte GmbH), BLZ …,
Konto-Nummer …, Kontowortlaut „Meier, Huber und Partner
Rechtsanwälte GmbH“, mit dem unwiderruflichen Treuhandauftrag zu
erlegen, die Selbstbemessung hinsichtlich der Grunderwerbsteuer und
der Immobilienertragsteuer vorzunehmen und die jeweiligen Beträge
an die zuständigen Einrichtungen weiterzuleiten, sowie die
Eintragungsgebühr nach Vorschreibung durch das Grundbuchgericht
entsprechend zu entrichten.</w:t>
      </w:r>
    </w:p>
    <w:p>
      <w:pPr>
        <w:widowControl w:val="on"/>
        <w:pBdr/>
        <w:spacing w:before="140" w:after="240" w:line="288" w:lineRule="auto"/>
        <w:ind w:left="0" w:right="0"/>
        <w:jc w:val="left"/>
      </w:pPr>
      <w:r>
        <w:rPr>
          <w:rFonts w:ascii="Arial" w:hAnsi="Arial" w:eastAsia="Arial" w:cs="Arial"/>
          <w:color w:val="000000"/>
          <w:sz w:val="20"/>
          <w:szCs w:val="20"/>
        </w:rPr>
        <w:t xml:space="preserve">Der Käufer verpflichtet sich, bis längstens am Tag der
Vertragsunterzeichnung, den Kaufpreisbetrag von EUR 300.000,–
bei der hiermit von allen Vertragsparteien unwiderruflich zum
Treuhänder bestellten Meier, Huber und Partner Rechtsanwälte GmbH,
Wollzeile 20, 1010 Wien auf deren Treuhandkonto bei der X Bank AG,
BLZ …, Konto-Nummer … lautend auf „Trauner Olbricht“, mit dem
unwiderruflichen Auftrag zu erlegen,</w:t>
      </w:r>
    </w:p>
    <w:p>
      <w:pPr>
        <w:numPr>
          <w:ilvl w:val="0"/>
          <w:numId w:val="3223144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t>
      </w:r>
      <w:r>
        <w:rPr>
          <w:rFonts w:ascii="Arial" w:hAnsi="Arial" w:eastAsia="Arial" w:cs="Arial"/>
          <w:b/>
          <w:bCs/>
          <w:color w:val="000000"/>
          <w:sz w:val="20"/>
          <w:szCs w:val="20"/>
        </w:rPr>
        <w:t xml:space="preserve">Unterfertigung des Kaufvertrages</w:t>
      </w:r>
      <w:r>
        <w:rPr>
          <w:rFonts w:ascii="Arial" w:hAnsi="Arial" w:eastAsia="Arial" w:cs="Arial"/>
          <w:color w:val="000000"/>
          <w:sz w:val="20"/>
          <w:szCs w:val="20"/>
        </w:rPr>
        <w:t xml:space="preserve"> durch
die Vertragsparteien;</w:t>
      </w:r>
    </w:p>
    <w:p>
      <w:pPr>
        <w:numPr>
          <w:ilvl w:val="0"/>
          <w:numId w:val="3223144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des von dem Verkäufer auf dessen Kosten
beizubringenden rechtskräftigen Beschlusses über die erfolgte
Anmerkung der </w:t>
      </w:r>
      <w:r>
        <w:rPr>
          <w:rFonts w:ascii="Arial" w:hAnsi="Arial" w:eastAsia="Arial" w:cs="Arial"/>
          <w:b/>
          <w:bCs/>
          <w:color w:val="000000"/>
          <w:sz w:val="20"/>
          <w:szCs w:val="20"/>
        </w:rPr>
        <w:t xml:space="preserve">Rangordnung für die beabsichtigte
Veräußerung</w:t>
      </w:r>
      <w:r>
        <w:rPr>
          <w:rFonts w:ascii="Arial" w:hAnsi="Arial" w:eastAsia="Arial" w:cs="Arial"/>
          <w:color w:val="000000"/>
          <w:sz w:val="20"/>
          <w:szCs w:val="20"/>
        </w:rPr>
        <w:t xml:space="preserve"> im Original der kaufgegenständlichen
Liegenschaftsanteile mit einer Mindestlaufzeit von 10 Monaten,
welcher Rangordnung keine Lasten vorgehen dürfen, beim
Treuhänder;</w:t>
      </w:r>
    </w:p>
    <w:p>
      <w:pPr>
        <w:numPr>
          <w:ilvl w:val="0"/>
          <w:numId w:val="3223144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der vom Verkäufer bis längstens am Tag der
Vertragsunterzeichnung beizubringenden grundbuchsfähigen
Freilassungserklärung bzw Löschungserklärung bezüglich des unter
C-LNR 14c einverleibten Pfandrechtes in Höhe von
EUR 32.000.000,– zugunsten der Volksbank Wien registrierte
Genossenschaft mit beschränkter Haftung hinsichtlich der
kaufgegenständlichen Liegenschaftsanteile, beim Treuhänder;</w:t>
      </w:r>
    </w:p>
    <w:p>
      <w:pPr>
        <w:numPr>
          <w:ilvl w:val="0"/>
          <w:numId w:val="3223144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der vom Käufer zu unterfertigenden und vom
Verkäufer beizuschaffenden Übergabeerklärung im Original, mit
welcher Erklärung die vertragsgemäße Übergabe des Kaufgegenstandes
an den Käufer getätigt wird, beim Treuhänder;</w:t>
      </w:r>
    </w:p>
    <w:p>
      <w:pPr>
        <w:numPr>
          <w:ilvl w:val="0"/>
          <w:numId w:val="3223144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des Beschlusses des BG Innere Stadt, mit welchem
das lastenfreie Eigentumsrecht zugunsten des Käufers ob den
kaufgegenständlichen Liegenschaftsanteilen eingetragen wird, beim
Treuhänder aus dem Kaufpreis zunächst einen Teilbetrag für die
Entrichtung der Immobilienertragsteuer, welcher EUR … beträgt,
an die zuständige Einrichtung weiterzuleiten, sowie den Restbetrag
samt den auf dem Treuhandkonto aufgelaufenen Zinsen ab
Erlagszeitpunkt abzüglich Bank- und Kontospesen auf das Konto des
Verkäufers bei der Y Bank, BLZ …, Konto-Nummer …
weiterzuleiten.</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bestätigt mit seiner Unterschrift unter diesen
Vertrag die Richtigkeit und Vollständigkeit der zur Berechnung der
aufgrund des gegenständlichen Vertrages zu entrichtenden
Immobilienertragssteuer gemachten Angaben gegenüber dem mit
unterzeichnenden Treuhänder und hält diesen hinsichtlich aller
Ansprüche Dritter aus allfälligen unrichtig gemachten Angaben
schad- und klaglos.</w:t>
      </w:r>
    </w:p>
    <w:p>
      <w:pPr>
        <w:widowControl w:val="on"/>
        <w:pBdr/>
        <w:spacing w:before="140" w:after="240" w:line="288" w:lineRule="auto"/>
        <w:ind w:left="0" w:right="0"/>
        <w:jc w:val="left"/>
      </w:pPr>
      <w:r>
        <w:rPr>
          <w:rFonts w:ascii="Arial" w:hAnsi="Arial" w:eastAsia="Arial" w:cs="Arial"/>
          <w:color w:val="000000"/>
          <w:sz w:val="20"/>
          <w:szCs w:val="20"/>
        </w:rPr>
        <w:t xml:space="preserve">Der Nachweis über die Entrichtung des Kaufpreises sowie über den
Eintritt der obgenannten Bedingungen hat vereinbarungsgemäß nicht
gegenüber dem Grundbuchsgericht zu erfolgen, sondern lediglich
gegenüber dem Treuhänder. Dem Treuhänder wird der einseitig
unwiderrufliche Auftrag erteilt, die Einverleibung des
Eigentumsrechtes des Käufers nur dann zu veranlassen, wenn der
Kaufpreis am Treuhandkonto erliegt. Einvernehmlich festgehalten
wird, dass es sich dabei um eine bloß das Treuhandverhältnis
betreffende Anweisung an den Treuhänder handelt und nicht um eine
Bedingung für die Wirksamkeit des gegenständlichen Kaufvertrages.
Der Treuhänder verpflichtet sich, nach Vorliegen der unter III.1
bis III.4. angeführten Bedingungen das Grundbuchgesuch unverzüglich
beim zuständigen Grundbuchsgericht einzubringen.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bestätigen, eine Ausfertigung der
Bestimmungen über die Abwicklung von Treuhandschaften im Rahmen des
elektronischen Anwaltlichen Treuhandbuches (eATHB) der
Rechtsanwaltskammer Wien, welche einen integrierenden Bestandteil
des Treuhandauftrages bildet, erhalten zu haben.</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und der Käufer nehmen zur Kenntnis, dass eine
Verfügung über den Treuhandbetrag abweichend von dem in der
Treuhandvereinbarung festgelegten Fälligkeitszeitpunkt und/oder
abweichend von den darin festgelegten Bedingungen nur mit
Zustimmung des Käufers und des Verkäufers zulässig ist.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stimmen weiters überein, die X Bank AG als
Treuhandkonto führendes Kreditinstitut zu wählen. Sollte demnach
über die X Bank AG als das Treuhandkonto führende Kreditinstitut
ein Insolvenzverfahren eröffnet werden, so entbinden die
Vertragsparteien den Treuhänder schon jetzt von jeglicher
Verantwortung bzw halten sie diesen aus diesem Treuhandauftrag
schad- und klaglos. Es ist demnach im Fall der Insolvenz über das
das Treuhandkonto führende Kreditinstitut ausgeschlossen, dass der
Treuhänder aus welchem Grund auch immer einerseits für die daraus
resultierende Nichterfüllung des Treuhandauftrages sowie
andererseits für den teilweisen bzw gänzlichen Verlust des erlegten
Kaufpreises, der aus Treuhandschaft resultierenden Steuern, der
gerichtlichen Eintragungsgebühr, allfälliger daraus resultierender
Zinsen sowie sonstiger Vermögensrechte aus diesem Treuhandauftrag
verantwortlich gemacht wird.</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unterfertigt den gegenständlichen Kaufvertrag zum
Zeichen der Annahme des Treuhandauftrages mit.</w:t>
      </w:r>
    </w:p>
    <w:p>
      <w:pPr>
        <w:widowControl w:val="on"/>
        <w:pBdr/>
        <w:spacing w:before="140" w:after="240" w:line="288" w:lineRule="auto"/>
        <w:ind w:left="0" w:right="0"/>
        <w:jc w:val="left"/>
      </w:pPr>
      <w:r>
        <w:rPr>
          <w:rFonts w:ascii="Arial" w:hAnsi="Arial" w:eastAsia="Arial" w:cs="Arial"/>
          <w:color w:val="000000"/>
          <w:sz w:val="20"/>
          <w:szCs w:val="20"/>
        </w:rPr>
        <w:t xml:space="preserve">Einvernehmlich festgehalten wird, dass der Treuhänder
gegebenenfalls zugleich mit der grundbücherlichen Eintragung des
Eigentumsrechtes zur Löschung des Pfandrechtes (C-LNR 14c) von den
Vertragsparteien beauftragt wird.</w:t>
      </w:r>
    </w:p>
    <w:p>
      <w:pPr>
        <w:widowControl w:val="on"/>
        <w:pBdr/>
        <w:spacing w:before="140" w:after="240" w:line="288" w:lineRule="auto"/>
        <w:ind w:left="0" w:right="0"/>
        <w:jc w:val="left"/>
      </w:pPr>
      <w:r>
        <w:rPr>
          <w:rFonts w:ascii="Arial" w:hAnsi="Arial" w:eastAsia="Arial" w:cs="Arial"/>
          <w:color w:val="000000"/>
          <w:sz w:val="20"/>
          <w:szCs w:val="20"/>
        </w:rPr>
        <w:t xml:space="preserve">Sollte sich nachträglich herausstellen, dass für die lastenfreie
Einverleibung des Eigentumsrechts des Käufers oder sonst für die
Abwicklung weitere Mitwirkungen des Verkäufers erforderlich sind,
so verpflichtet sich der Verkäufer zur entsprechenden
unverzüglichen Mitwirkung.</w:t>
      </w:r>
    </w:p>
    <w:p>
      <w:pPr>
        <w:widowControl w:val="on"/>
        <w:pBdr/>
        <w:spacing w:before="140" w:after="240" w:line="288" w:lineRule="auto"/>
        <w:ind w:left="0" w:right="0"/>
        <w:jc w:val="left"/>
      </w:pPr>
      <w:r>
        <w:rPr>
          <w:rFonts w:ascii="Arial" w:hAnsi="Arial" w:eastAsia="Arial" w:cs="Arial"/>
          <w:color w:val="000000"/>
          <w:sz w:val="20"/>
          <w:szCs w:val="20"/>
        </w:rPr>
        <w:t xml:space="preserve">Sollten nicht sämtliche oben genannten Treuhandbedingungen bis
spätestens … erfüllt sein, so ist der Käufer berechtigt, jedoch
nicht verpflichtet, diesen Vertrag mit Kopie an den Treuhänder mit
sofortiger Wirkung aufzulösen. In diesem Fall ist der Vertrag
rückabzuwickeln, der Treuhänder hat den Treuhanderlag samt
Erlagszinsen abzüglich Bank- und Kontospesen an ein von den Käufern
zu benennendes Konto rückzuüberweisen; die Käufer haben den
Kaufgegenstand an die Verkäufer zurückzugeben. Der Verkäufer haftet
in diesem Falle für sämtliche Nachteile, die dem Käufer
entstehen.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des Kaufgegenstandes vom Verkäufer an den Käufer
erfolgt am Tag der Vertragsunterfertigung. Dieser Tag der Übergabe
ist zugleich Stichtag für den Übergang von Gefahr und Zufall auf
den Käufer und Verrechnungsstichtag für Nutzen und Aufwendungen.
Der Instandhaltungsaufwand sowie die Verpflichtung zur
ordnungsgemäßen Instandhaltung bis zum Übergabestichtag trifft den
Verkäufer, ab dem Übergabestichtag den Käufer. Vorschreibungen,
welche sich auf Zeiträume vor dem Stichtag beziehen, sind vom
Verkäufer zu begleichen, solche, die sich auf Zeiträume ab dem
Stichtag beziehen, sind vom Käufer zu begleichen.</w:t>
      </w:r>
    </w:p>
    <w:p>
      <w:pPr>
        <w:widowControl w:val="on"/>
        <w:pBdr/>
        <w:spacing w:before="140" w:after="240" w:line="288" w:lineRule="auto"/>
        <w:ind w:left="0" w:right="0"/>
        <w:jc w:val="left"/>
      </w:pPr>
      <w:r>
        <w:rPr>
          <w:rFonts w:ascii="Arial" w:hAnsi="Arial" w:eastAsia="Arial" w:cs="Arial"/>
          <w:color w:val="000000"/>
          <w:sz w:val="20"/>
          <w:szCs w:val="20"/>
        </w:rPr>
        <w:t xml:space="preserve">Die Übergabe schließt auch eine Einweisung des Käufers in die
technischen Anlagen des Kaufgegenstandes (zB Heizungsanlage etc)
und die Übergabe sämtlicher Unterlagen (vgl unten Punkt V.) ein.
Die erfolgte Einweisung wird vom Käufer anschließend mittels zu
unterfertigendem Protokoll bestätigt.</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in Kenntnis des Wohnungseigentumsvertrages
vom … zu sein und die ihm als Miteigentümer daraus resultierenden
Rechte vollinhaltlich zu übernehmen. Weiters erklärt der Käufer in
Kenntnis der am … abgeschlossenen Benützungsvereinbarung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Der Käufer hat den Kaufgegenstand besichtigt. Der Käufer erwirbt
die vertragsgegenständlichen Liegenschaftsanteile wie sie liegen
und stehen. Der Verkäufer sagt zu, dass ihm keine wesentlichen
Instandhaltungs- und Erhaltungsarbeiten der Liegenschaft bekannt
sind. Der Verkäufer leistet über die vertraglichen Zusicherungen
hinaus keine wie immer geartete Gewähr für eine bestimmte
Beschaffenheit, eine bestimmte Größe, einen bestimmten Zustand oder
Ertrag des Kaufgegenstandes. Der Käufer erklärt, dass ihm der
gegenwärtige Zustand und das Erscheinungsbild der Liegenschaft
bekannt sind.</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in Kenntnis des aktuellen Standes der
Rücklage.</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haftet wohl aber dafür, dass der Kaufgegenstand in
jenem Zustand übergeben wird, der dem besichtigten Zustand
entspricht, sowie dass der Kaufgegenstand frei von Rechtsmängeln
ist, dass keine Mängel verschwiegen wurden, und dass der
Kaufgegenstand vollkommen satz- und lastenfrei und frei von
jeglichen – auch außerbücherlichen – Belastungen und
Beschränkungen, oder bloß tatsächlichen Benützungsrechten in das
Eigentum, den Besitz und Genuss des Käufers gemäß den Bestimmungen
des gegenständlichen Vertrages übergeht. Der Verkäufer steht ferner
dafür ein, dass er seit Beginn der Vertragsverhandlungen keine
Rechte hinsichtlich des Kaufgegenstandes neu eingeräumt hat.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Kaufgegenstand derzeit gemäß
Mietvertrag vom … an Frau Brigitte Lehner vermietet ist. Der
Verkäufer leistet dem Käufer dafür Gewähr, dass die derzeitige
Mieterin den Kaufgegenstand bis längstens … geräumt von eigenen
Fahrnissen übergeben wird. Der Verkäufer hält den Käufer
dahingehend schad- und klaglos, dass neben dem bestehenden
Mietvertrag keinerlei weitere vertraglichen Abreden zwischen dem
Verkäufer und dem Mieter bestehen und der Mietvertrag das
bestehende Mietverhältnis abschließend regelt. Die Vertragsparteien
sind darüber in Kenntnis, dass durch den Erwerb des
Kaufgegenstandes der Käufer in den bestehenden Mietvertrag
eintritt.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erklärt, dass er keine Kontaminierung verursacht
hat und ihm nach bestem Wissen und Gewissen auch keine
Kontaminierung der vertragsgegenständlichen Liegenschaft im Sinne
des Abfallwirtschaftsgesetzes bekannt ist. Er übernimmt darüber
hinaus aber keinerlei Haftung für eine allfällige
Kontaminierung.</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verpflichtet sich, dem Käufer alle auf die
Verwaltung der Liegenschaft bezughabenden Urkunden, insbesondere
sämtliche Versicherungsurkunden (Haushaltsversicherung) zu
übergeben. Die Vertragsparteien wurden vom Vertragsverfasser über
die Bestimmungen der §§ 69 und 72
Versicherungsvertragsgesetzes, insbesondere auf die Möglichkeit der
Aufkündigung von bestehenden Versicherungsverträgen hinsichtlich
der gegenständlichen Liegenschaftsanteile aus Anlass des
Eigentümerwechsels hingewiesen.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Nach Aufklärung über die generelle Vorlagepflicht eines
Einergieausweises gemäß Energieausweisvorlagegesetz (BGBl I
Nr 27/2012) wird festgehalten, dass sich der Verkäufer
verpflichtet hat, dem Käufer einen gültigen Energieausweis bzw eine
Kopie davon binnen 14 Tagen nach Vertragsabschluss
auszuhändigen.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an Eides statt österreichischer Staatsbürger
und Deviseninländer im Sinne der einschlägigen Vorschriften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Herr Dr. Herber Trauner, geboren am … erklärt sohin seine
ausdrückliche Einwilligung, dass aufgrund dieses Kaufvertrages ob
den ihm gehörenden 79/4272 Anteilen der Liegenschaft EZ 316,
Grundbuch 01006 Landstraße bestehend aus dem Grundstück 680 mit der
Grundstücksadresse Fasangasse 3, 1030 Wien, mit welchen Anteilen
das Wohnungseigentum an Wohnung W 16 (B-LNR 24) untrennbar
verbunden ist, das Eigentumsrecht zugunsten des Herrn DI Martin
Olbricht, geboren …, grundbücherlich einverleibt werde.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Einholung der Freilassungs- bzw
Löschungserklärung gemäß Punkt III.3 sowie die
Immobilienertragssteuer trägt der Verkäufer. Die Kosten der
Errichtung und grundbücherlichen Durchführung des gegenständlichen
Kaufvertrages sowie die Grunderwerbsteuer und die damit anfallenden
Gebühren trägt der Käufer. In diesem Zusammenhang wird von
sämtlichen Vertragsparteien einvernehmlich festgestellt, dass der
Käufer den Auftrag zur Vertragserrichtung und grundbücherlichen
Durchführung erteilt hat. Die Kosten allfälliger Rechtsberatung
trägt jeder Vertragsteil selbst.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ermächtigen hiermit unwiderruflich die
Meier, Huber und Partner Rechtsanwälte GmbH, Wollzeile 20, 1010
Wien, diesen Kaufvertrag grundbücherlich durchzuführen sowie alle
mit der grundbücherlichen Durchführung im Zusammenhang stehenden
Maßnahmen zu setzen, sowie Änderungen oder Ergänzungen des
Kaufvertrages in verbücherungsfähiger Form vorzunehmen, welche für
die gegenständliche Durchführung des Kaufvertrages erforderlich
oder dienlich sein sollten und Erklärungen abzugeben sowie zur
Entgegennahme von Bescheiden, Beschlüssen und Urkunden aller
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des gegenständlichen Vertrages
bedürfen der Schriftform. Die Vertragsteile verzichten auf eine
Anfechtung, Aufhebung oder Abänderung des gegenständlichen
Vertrages wegen Irrtums oder geänderter Verhältnisse. Die
Vertragsteile erklären, dass ihnen der wahre Wert des
Kaufgegenstandes bekannt ist, sie mit Rücksicht darauf den
Kaufpreis vereinbart haben und dass sie ausdrücklich darauf
verzichten, diesen Vertrag wegen Verkürzung über die Hälfte
anzufechten.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wurden vom Vertragsverfasser darüber
belehrt, dass ihre Daten aufgrund gesetzlicher Vorschriften
gespeichert werden. Die zur Verfügung gestellten Daten werden nicht
für andere Zwecke als durch den erteilten Auftrag erforderlich und
in Einklang mit der Datenschutzgrundverordnung verarbeitet. Der
Vertragsverfasser wird die personenbezogenen Daten der Parteien
nicht anderen Personen zur Verfügung stellen. Allerdings ist es zur
Erfüllung des Auftrags und aus gesetzlichen Gründen erforderlich
Daten an Dritte (Gerichte, Behörden, Rechtsvertreter oder sonst
beteiligte Dritte) weiterzuleiten. Der Vertragsverfasser erklärt,
dass die personenbezogenen Daten nicht länger aufbewahrt werden als
es für die Zwecke deren Bearbeitung erforderlich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w:t>
      </w:r>
    </w:p>
    <w:p>
      <w:pPr>
        <w:widowControl w:val="on"/>
        <w:pBdr/>
        <w:spacing w:before="140" w:after="240" w:line="288" w:lineRule="auto"/>
        <w:ind w:left="0" w:right="0"/>
        <w:jc w:val="left"/>
      </w:pPr>
      <w:r>
        <w:rPr>
          <w:rFonts w:ascii="Arial" w:hAnsi="Arial" w:eastAsia="Arial" w:cs="Arial"/>
          <w:color w:val="000000"/>
          <w:sz w:val="20"/>
          <w:szCs w:val="20"/>
        </w:rPr>
        <w:t xml:space="preserve">Die Parteien erklären nach diesbezüglicher Rechtsbelehrung,
keine politisch exponierten Personen im Sinne der
Anti-Geldwäsche-Richtlinien der Europäischen Union zu sein, also
insbesondere selbst kein maßgebliches politisches Amt inne zu haben
oder früher ausgeübt zu haben und mit einer solchen Person weder in
einem nahen Verwandtschaftsverhältnis noch in einer engen
wirtschaftlichen Beziehung zu stehen. Der vorliegende Vertrag dient
weder der Geldwäsche noch der Terrorismusfinanzierung.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w:t>
      </w:r>
    </w:p>
    <w:p>
      <w:pPr>
        <w:widowControl w:val="on"/>
        <w:pBdr/>
        <w:spacing w:before="140" w:after="240" w:line="288" w:lineRule="auto"/>
        <w:ind w:left="0" w:right="0"/>
        <w:jc w:val="left"/>
      </w:pPr>
      <w:r>
        <w:rPr>
          <w:rFonts w:ascii="Arial" w:hAnsi="Arial" w:eastAsia="Arial" w:cs="Arial"/>
          <w:color w:val="000000"/>
          <w:sz w:val="20"/>
          <w:szCs w:val="20"/>
        </w:rPr>
        <w:t xml:space="preserve">Auf das Vertragsverhältnis ist österreichisches Recht
anzuwenden. Als ausschließlicher Gerichtsstand wird das
Bezirksgericht Innere Stadt Wien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w:t>
      </w:r>
    </w:p>
    <w:p>
      <w:pPr>
        <w:widowControl w:val="on"/>
        <w:pBdr/>
        <w:spacing w:before="140" w:after="240" w:line="288" w:lineRule="auto"/>
        <w:ind w:left="0" w:right="0"/>
        <w:jc w:val="left"/>
      </w:pPr>
      <w:r>
        <w:rPr>
          <w:rFonts w:ascii="Arial" w:hAnsi="Arial" w:eastAsia="Arial" w:cs="Arial"/>
          <w:color w:val="000000"/>
          <w:sz w:val="20"/>
          <w:szCs w:val="20"/>
        </w:rPr>
        <w:t xml:space="preserve">Sämtliche in diesem Vertrag vereinbarten Rechte und Pflichten
gehen aufseiten beider Vertragsparteien auf die jeweiligen Erben
und sonstigen Rechtsnachfolger über. Mehrere Erben oder
Rechtsnachfolger sind zur ungeteilten Hand berechtigt oder
verpflichtet.</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ganz oder teilweise
rechtsunwirksam sein oder werden, so wird dadurch die Gültigkeit
der übrigen Bestimmungen nicht berührt. Die Vertragsparteien
verpflichten sich, die unwirksame Bestimmung durch eine solche zu
ersetzen, die dem wirtschaftlichen Zweck der gewollten Regelung am
nächsten kommt.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w:t>
      </w:r>
    </w:p>
    <w:p>
      <w:pPr>
        <w:widowControl w:val="on"/>
        <w:pBdr/>
        <w:spacing w:before="140" w:after="240" w:line="288" w:lineRule="auto"/>
        <w:ind w:left="0" w:right="0"/>
        <w:jc w:val="left"/>
      </w:pPr>
      <w:r>
        <w:rPr>
          <w:rFonts w:ascii="Arial" w:hAnsi="Arial" w:eastAsia="Arial" w:cs="Arial"/>
          <w:color w:val="000000"/>
          <w:sz w:val="20"/>
          <w:szCs w:val="20"/>
        </w:rPr>
        <w:t xml:space="preserve">Der gegenständliche Vertrag wird in zwei Originalen errichtet.
Das beglaubigte Original erhält nach grundbücherlicher Durchführung
der Käufer, das unbeglaubigte Original nach grundbücherlicher
Durchführung der Verkäufer. Ausfertigungen dieses Vertrages können
in beliebiger Anzahl an die Parteien und deren jeweiligen
Rechtsnachfolger, jeweils auf Kosten des Verlangenden,
hinausgegeben werden.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Herbert Trauner, geboren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 Martin Olbricht, geboren am …</w:t>
      </w:r>
    </w:p>
    <w:p>
      <w:pPr>
        <w:widowControl w:val="on"/>
        <w:pBdr/>
        <w:spacing w:before="140" w:after="240" w:line="288" w:lineRule="auto"/>
        <w:ind w:left="0" w:right="0"/>
        <w:jc w:val="left"/>
      </w:pPr>
      <w:r>
        <w:rPr>
          <w:rFonts w:ascii="Arial" w:hAnsi="Arial" w:eastAsia="Arial" w:cs="Arial"/>
          <w:color w:val="000000"/>
          <w:sz w:val="20"/>
          <w:szCs w:val="20"/>
        </w:rPr>
        <w:t xml:space="preserve">Zum Zeichen der Annahme des Treuhandauftrages: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Meier, Huber und Partner Rechtsanwälte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Eigentümerwechselkündigung Versicherungsverhältnis: Mit dem
Erwerb von mehr als 50 % der Anteile an der Liegenschaft wird
auch die Legitimation zur Eigentümerwechselkündigung erworben,
gleich, ob dieser Mehrheitsanteilserwerb auf einmal oder in
mehreren Vorgängen erfolgt (RIS-Justiz RS0113297). 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 (RIS-Justiz RS0080653).</w:t>
      </w:r>
    </w:p>
    <w:p>
      <w:pPr>
        <w:widowControl w:val="on"/>
        <w:pBdr/>
        <w:spacing w:before="140" w:after="240" w:line="288" w:lineRule="auto"/>
        <w:ind w:left="0" w:right="0"/>
        <w:jc w:val="left"/>
      </w:pPr>
      <w:r>
        <w:rPr>
          <w:rFonts w:ascii="Arial" w:hAnsi="Arial" w:eastAsia="Arial" w:cs="Arial"/>
          <w:color w:val="000000"/>
          <w:sz w:val="20"/>
          <w:szCs w:val="20"/>
        </w:rPr>
        <w:t xml:space="preserve">Vorlagepflicht Energieausweis: Bei Veräußerung eines Gebäudes
hat der Verkäufer dem Käufer rechtzeitig vor Abgabe der
Vertragserklärung des Käufers oder Bestandnehmers einen höchstens
zehn Jahre alten Energieausweis vorzulegen und diesen binnen 14
Tagen ab Vertragsabschluss zu übergeben. Wird nur ein
Nutzungsobjekt in einem Gebäude verkauft, kann diese Verpflichtung
erfüllt werden, indem entweder über die Gesamtenergieeffizienz
dieses Nutzungsobjekts oder über die Gesamtenergieeffizienz eines
vergleichbaren Nutzungsobjekts im selben Gebäude oder über die
Gesamtenergieeffizienz des gesamten Gebäudes ein Ausweis vorgelegt
wird.</w:t>
      </w:r>
    </w:p>
    <w:p>
      <w:pPr>
        <w:widowControl w:val="on"/>
        <w:pBdr/>
        <w:spacing w:before="140" w:after="240" w:line="288" w:lineRule="auto"/>
        <w:ind w:left="0" w:right="0"/>
        <w:jc w:val="left"/>
      </w:pPr>
      <w:r>
        <w:rPr>
          <w:rFonts w:ascii="Arial" w:hAnsi="Arial" w:eastAsia="Arial" w:cs="Arial"/>
          <w:color w:val="000000"/>
          <w:sz w:val="20"/>
          <w:szCs w:val="20"/>
        </w:rPr>
        <w:t xml:space="preserve">Ausnahmen von der Vorlagepflicht des Energieausweises: Gemäß den
Bestimmungen des Energieausweis-Vorlage-Gesetzes (EAVG) ist der
Verkäufer verpflichtet, bereits in den Immobilienanzeigen bestimmte
Indikatoren über die energietechnische Qualität des Gebäudes oder
Objektes anzugeben und beim Verkauf dieser Objekte dem Käufer oder
Bestandnehmer einen Energieausweis vorzulegen und
auszuhändigen.</w:t>
      </w:r>
    </w:p>
    <w:p>
      <w:pPr>
        <w:widowControl w:val="on"/>
        <w:pBdr/>
        <w:spacing w:before="140" w:after="240" w:line="288" w:lineRule="auto"/>
        <w:ind w:left="0" w:right="0"/>
        <w:jc w:val="left"/>
      </w:pPr>
      <w:r>
        <w:rPr>
          <w:rFonts w:ascii="Arial" w:hAnsi="Arial" w:eastAsia="Arial" w:cs="Arial"/>
          <w:color w:val="000000"/>
          <w:sz w:val="20"/>
          <w:szCs w:val="20"/>
        </w:rPr>
        <w:t xml:space="preserve">Von der Angabepflicht von Energieindikatoren in Inseraten und
der Vorlage- und Aushändigungspflicht sind ausgenommen:</w:t>
      </w:r>
    </w:p>
    <w:p>
      <w:pPr>
        <w:numPr>
          <w:ilvl w:val="0"/>
          <w:numId w:val="701660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Gebäude, die nur frostfrei gehalten werden</w:t>
      </w:r>
    </w:p>
    <w:p>
      <w:pPr>
        <w:numPr>
          <w:ilvl w:val="0"/>
          <w:numId w:val="701660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Objektiv abbruchreife Gebäude</w:t>
      </w:r>
    </w:p>
    <w:p>
      <w:pPr>
        <w:numPr>
          <w:ilvl w:val="0"/>
          <w:numId w:val="701660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Gebäude für religiöse Zwecke</w:t>
      </w:r>
    </w:p>
    <w:p>
      <w:pPr>
        <w:numPr>
          <w:ilvl w:val="0"/>
          <w:numId w:val="701660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Provisorisch für höchstens 2 Jahre errichtete Gebäude</w:t>
      </w:r>
    </w:p>
    <w:p>
      <w:pPr>
        <w:numPr>
          <w:ilvl w:val="0"/>
          <w:numId w:val="701660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Industrieanlagen, Werkstätten, deren Innenraumklima durch
Abwärme aufgebracht wird, landwirtschaftliche Nutzungsgebäude</w:t>
      </w:r>
    </w:p>
    <w:p>
      <w:pPr>
        <w:numPr>
          <w:ilvl w:val="0"/>
          <w:numId w:val="701660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Ferienhäuser (Energiebedarf unter einem Jahresviertel)</w:t>
      </w:r>
    </w:p>
    <w:p>
      <w:pPr>
        <w:numPr>
          <w:ilvl w:val="0"/>
          <w:numId w:val="701660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Freistehende Gebäude mit weniger als 50 m² Nutzfläche.</w:t>
      </w:r>
    </w:p>
    <w:p>
      <w:pPr>
        <w:widowControl w:val="on"/>
        <w:pBdr/>
        <w:spacing w:before="140" w:after="240" w:line="288" w:lineRule="auto"/>
        <w:ind w:left="0" w:right="0"/>
        <w:jc w:val="left"/>
      </w:pPr>
      <w:r>
        <w:rPr>
          <w:rFonts w:ascii="Arial" w:hAnsi="Arial" w:eastAsia="Arial" w:cs="Arial"/>
          <w:color w:val="000000"/>
          <w:sz w:val="20"/>
          <w:szCs w:val="20"/>
        </w:rPr>
        <w:t xml:space="preserve">Bemessungsgrundlage Grunderwerbssteuer: Der Einheitswert als
Bemessungsgrundlage existiert lediglich beim Erwerb von land- und
forstwirtschaftlichen Liegenschaften. Für alle anderen
Liegenschaften ist als Bemessungsgrundlage für die
Grunderwerbsteuer die Gegenleistung (Kaufpreis, Schuldenübernahme,
Nutzungsrecht usw) heranzuziehen. Bei unentgeltlichen Erwerben ist
der Grundstückswert die Bemessungsgrundlage. Dies gilt auch, wenn
die Gegenleistung unter dem Grundstückswert liegt. Dieser wird
durch eine Pauschalberechnungsmethode oder durch Ableitung aus
einem geeigneten Immobilienpreisspiegel berechnet. Die Details dazu
finden sich in den entsprechenden Verordnungen.</w:t>
      </w:r>
    </w:p>
    <w:p>
      <w:pPr>
        <w:widowControl w:val="on"/>
        <w:pBdr/>
        <w:spacing w:before="140" w:after="240" w:line="288" w:lineRule="auto"/>
        <w:ind w:left="0" w:right="0"/>
        <w:jc w:val="left"/>
      </w:pPr>
      <w:r>
        <w:rPr>
          <w:rFonts w:ascii="Arial" w:hAnsi="Arial" w:eastAsia="Arial" w:cs="Arial"/>
          <w:color w:val="000000"/>
          <w:sz w:val="20"/>
          <w:szCs w:val="20"/>
        </w:rPr>
        <w:t xml:space="preserve">Aufsandungserklärung: Die Aufsandungserklärung ist ein zentrales
Element des österreichischen Grundbuchrechts und dient als formelle
und materiell-rechtliche Voraussetzung für die Einverleibung von
dinglichen Rechten – wie etwa des Eigentumsrechts, eines
Pfandrechts oder eines Dienstbarkeitsrechts – im Grundbuch. Sie
stellt die ausdrückliche und unwiderrufliche Zustimmung jenes
Rechtsträgers dar, dessen im Grundbuch eingetragenes Recht durch
die beantragte Eintragung eingeschränkt, übertragen, belastet oder
gelöscht werden soll. Damit soll sichergestellt werden, dass der
Eingriff in ein bestehendes dingliches Recht nicht gegen den Willen
des Betroffenen erfolgt, sondern auf einer klar dokumentierten
Willensübereinstimmung beruht. Die Aufsandungserklärung erfüllt
somit eine doppelte Funktion: Einerseits gewährleistet sie
Rechtssicherheit und schützt vor unautorisierten Veränderungen im
Grundbuch, andererseits schafft sie für das Gericht eine
verlässliche Entscheidungsgrundlage bei der Durchführung der
Einverleibung. Sie ist insbesondere dann erforderlich, wenn der
Antrag auf Einverleibung auf einer bloßen Privaturkunde beruht,
etwa einem Kaufvertrag ohne notarielle Beurkundung. Die Erklärung
kann dabei entweder direkt in der Vertragsurkunde enthalten sein,
in einer gesonderten, formell dafür vorgesehenen Grundbuchsurkunde
abgegeben werden oder – in bestimmten Fällen – im Text des
Einverleibungsantrags selbst enthalten sein. In jedem Fall muss sie
klar, schriftlich und von der berechtigten Person oder deren
rechtsgültigem Vertreter unterzeichnet sein. Fehlt eine wirksame
Aufsandungserklärung, so ist eine Eintragung im Grundbuch
unzulässig, was zur Zurückweisung des Antrags führen kann. Dies
unterstreicht ihre erhebliche praktische Bedeutung im
Liegenschaftsverkehr und bei der Sicherstellung eines transparenten
und verlässlichen Grundbuchwesens.</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6604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2231448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088603">
    <w:multiLevelType w:val="hybridMultilevel"/>
    <w:lvl w:ilvl="0" w:tplc="95147150">
      <w:start w:val="1"/>
      <w:numFmt w:val="decimal"/>
      <w:lvlText w:val="%1."/>
      <w:lvlJc w:val="left"/>
      <w:pPr>
        <w:ind w:left="720" w:hanging="360"/>
      </w:pPr>
    </w:lvl>
    <w:lvl w:ilvl="1" w:tplc="95147150" w:tentative="1">
      <w:start w:val="1"/>
      <w:numFmt w:val="lowerLetter"/>
      <w:lvlText w:val="%2."/>
      <w:lvlJc w:val="left"/>
      <w:pPr>
        <w:ind w:left="1440" w:hanging="360"/>
      </w:pPr>
    </w:lvl>
    <w:lvl w:ilvl="2" w:tplc="95147150" w:tentative="1">
      <w:start w:val="1"/>
      <w:numFmt w:val="lowerRoman"/>
      <w:lvlText w:val="%3."/>
      <w:lvlJc w:val="right"/>
      <w:pPr>
        <w:ind w:left="2160" w:hanging="180"/>
      </w:pPr>
    </w:lvl>
    <w:lvl w:ilvl="3" w:tplc="95147150" w:tentative="1">
      <w:start w:val="1"/>
      <w:numFmt w:val="decimal"/>
      <w:lvlText w:val="%4."/>
      <w:lvlJc w:val="left"/>
      <w:pPr>
        <w:ind w:left="2880" w:hanging="360"/>
      </w:pPr>
    </w:lvl>
    <w:lvl w:ilvl="4" w:tplc="95147150" w:tentative="1">
      <w:start w:val="1"/>
      <w:numFmt w:val="lowerLetter"/>
      <w:lvlText w:val="%5."/>
      <w:lvlJc w:val="left"/>
      <w:pPr>
        <w:ind w:left="3600" w:hanging="360"/>
      </w:pPr>
    </w:lvl>
    <w:lvl w:ilvl="5" w:tplc="95147150" w:tentative="1">
      <w:start w:val="1"/>
      <w:numFmt w:val="lowerRoman"/>
      <w:lvlText w:val="%6."/>
      <w:lvlJc w:val="right"/>
      <w:pPr>
        <w:ind w:left="4320" w:hanging="180"/>
      </w:pPr>
    </w:lvl>
    <w:lvl w:ilvl="6" w:tplc="95147150" w:tentative="1">
      <w:start w:val="1"/>
      <w:numFmt w:val="decimal"/>
      <w:lvlText w:val="%7."/>
      <w:lvlJc w:val="left"/>
      <w:pPr>
        <w:ind w:left="5040" w:hanging="360"/>
      </w:pPr>
    </w:lvl>
    <w:lvl w:ilvl="7" w:tplc="95147150" w:tentative="1">
      <w:start w:val="1"/>
      <w:numFmt w:val="lowerLetter"/>
      <w:lvlText w:val="%8."/>
      <w:lvlJc w:val="left"/>
      <w:pPr>
        <w:ind w:left="5760" w:hanging="360"/>
      </w:pPr>
    </w:lvl>
    <w:lvl w:ilvl="8" w:tplc="95147150" w:tentative="1">
      <w:start w:val="1"/>
      <w:numFmt w:val="lowerRoman"/>
      <w:lvlText w:val="%9."/>
      <w:lvlJc w:val="right"/>
      <w:pPr>
        <w:ind w:left="6480" w:hanging="180"/>
      </w:pPr>
    </w:lvl>
  </w:abstractNum>
  <w:abstractNum w:abstractNumId="77882350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501597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088602">
    <w:multiLevelType w:val="hybridMultilevel"/>
    <w:lvl w:ilvl="0" w:tplc="40909289">
      <w:start w:val="1"/>
      <w:numFmt w:val="decimal"/>
      <w:lvlText w:val="%1."/>
      <w:lvlJc w:val="left"/>
      <w:pPr>
        <w:ind w:left="720" w:hanging="360"/>
      </w:pPr>
    </w:lvl>
    <w:lvl w:ilvl="1" w:tplc="40909289" w:tentative="1">
      <w:start w:val="1"/>
      <w:numFmt w:val="lowerLetter"/>
      <w:lvlText w:val="%2."/>
      <w:lvlJc w:val="left"/>
      <w:pPr>
        <w:ind w:left="1440" w:hanging="360"/>
      </w:pPr>
    </w:lvl>
    <w:lvl w:ilvl="2" w:tplc="40909289" w:tentative="1">
      <w:start w:val="1"/>
      <w:numFmt w:val="lowerRoman"/>
      <w:lvlText w:val="%3."/>
      <w:lvlJc w:val="right"/>
      <w:pPr>
        <w:ind w:left="2160" w:hanging="180"/>
      </w:pPr>
    </w:lvl>
    <w:lvl w:ilvl="3" w:tplc="40909289" w:tentative="1">
      <w:start w:val="1"/>
      <w:numFmt w:val="decimal"/>
      <w:lvlText w:val="%4."/>
      <w:lvlJc w:val="left"/>
      <w:pPr>
        <w:ind w:left="2880" w:hanging="360"/>
      </w:pPr>
    </w:lvl>
    <w:lvl w:ilvl="4" w:tplc="40909289" w:tentative="1">
      <w:start w:val="1"/>
      <w:numFmt w:val="lowerLetter"/>
      <w:lvlText w:val="%5."/>
      <w:lvlJc w:val="left"/>
      <w:pPr>
        <w:ind w:left="3600" w:hanging="360"/>
      </w:pPr>
    </w:lvl>
    <w:lvl w:ilvl="5" w:tplc="40909289" w:tentative="1">
      <w:start w:val="1"/>
      <w:numFmt w:val="lowerRoman"/>
      <w:lvlText w:val="%6."/>
      <w:lvlJc w:val="right"/>
      <w:pPr>
        <w:ind w:left="4320" w:hanging="180"/>
      </w:pPr>
    </w:lvl>
    <w:lvl w:ilvl="6" w:tplc="40909289" w:tentative="1">
      <w:start w:val="1"/>
      <w:numFmt w:val="decimal"/>
      <w:lvlText w:val="%7."/>
      <w:lvlJc w:val="left"/>
      <w:pPr>
        <w:ind w:left="5040" w:hanging="360"/>
      </w:pPr>
    </w:lvl>
    <w:lvl w:ilvl="7" w:tplc="40909289" w:tentative="1">
      <w:start w:val="1"/>
      <w:numFmt w:val="lowerLetter"/>
      <w:lvlText w:val="%8."/>
      <w:lvlJc w:val="left"/>
      <w:pPr>
        <w:ind w:left="5760" w:hanging="360"/>
      </w:pPr>
    </w:lvl>
    <w:lvl w:ilvl="8" w:tplc="40909289" w:tentative="1">
      <w:start w:val="1"/>
      <w:numFmt w:val="lowerRoman"/>
      <w:lvlText w:val="%9."/>
      <w:lvlJc w:val="right"/>
      <w:pPr>
        <w:ind w:left="6480" w:hanging="180"/>
      </w:pPr>
    </w:lvl>
  </w:abstractNum>
  <w:abstractNum w:abstractNumId="66088601">
    <w:multiLevelType w:val="hybridMultilevel"/>
    <w:lvl w:ilvl="0" w:tplc="22245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88601">
    <w:abstractNumId w:val="66088601"/>
  </w:num>
  <w:num w:numId="66088602">
    <w:abstractNumId w:val="66088602"/>
  </w:num>
  <w:num w:numId="165015976">
    <w:abstractNumId w:val="165015976"/>
  </w:num>
  <w:num w:numId="778823507">
    <w:abstractNumId w:val="778823507"/>
  </w:num>
  <w:num w:numId="66088603">
    <w:abstractNumId w:val="66088603"/>
  </w:num>
  <w:num w:numId="322314484">
    <w:abstractNumId w:val="322314484"/>
  </w:num>
  <w:num w:numId="701660449">
    <w:abstractNumId w:val="701660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09977590" Type="http://schemas.openxmlformats.org/officeDocument/2006/relationships/numbering" Target="numbering.xml"/><Relationship Id="rId21730837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