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6690356" w:name="document"/>
    <w:bookmarkEnd w:id="56690356"/>
    <w:p/>
    <w:p>
      <w:pPr>
        <w:widowControl w:val="on"/>
        <w:pBdr/>
        <w:spacing w:before="0" w:after="280" w:line="240" w:lineRule="auto"/>
        <w:ind w:left="0" w:right="0"/>
        <w:jc w:val="left"/>
      </w:pPr>
      <w:r>
        <w:rPr>
          <w:rFonts w:ascii="Arial" w:hAnsi="Arial" w:eastAsia="Arial" w:cs="Arial"/>
          <w:color w:val="363A40"/>
          <w:sz w:val="24"/>
          <w:szCs w:val="24"/>
        </w:rPr>
        <w:t xml:space="preserve">Dokument-ID: 1106238 | FORUM Media (red) -
Karin Zahiragic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gerichtliche Feststellung der Unrichtigkeit von
Betriebskostenabrechnungen</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Bezirksgericht Fünfhaus</w:t>
      </w:r>
      <w:r>
        <w:rPr>
          <w:rFonts w:ascii="Arial" w:hAnsi="Arial" w:eastAsia="Arial" w:cs="Arial"/>
          <w:color w:val="000000"/>
          <w:sz w:val="20"/>
          <w:szCs w:val="20"/>
        </w:rPr>
        <w:br/>
        <w:t xml:space="preserve">Gasgasse 1/7</w:t>
      </w:r>
      <w:r>
        <w:rPr>
          <w:rFonts w:ascii="Arial" w:hAnsi="Arial" w:eastAsia="Arial" w:cs="Arial"/>
          <w:color w:val="000000"/>
          <w:sz w:val="20"/>
          <w:szCs w:val="20"/>
        </w:rPr>
        <w:br/>
        <w:t xml:space="preserve">1150 Wien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Haus: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1150 Wien, Glückauf-Gasse 39</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Antragsteller:</w:t>
            </w:r>
          </w:p>
        </w:tc>
        <w:tc>
          <w:tcPr>
            <w:tcW w:w="0" w:type="auto"/>
            <w:shd w:val="clear" w:color="auto" w:fill="FFFFFF"/>
            <w:tcMar>
              <w:top w:w="156" w:type="dxa"/>
              <w:left w:w="0" w:type="auto"/>
              <w:bottom w:w="78" w:type="dxa"/>
              <w:right w:w="0" w:type="auto"/>
            </w:tcMar>
            <w:vAlign w:val="top"/>
          </w:tcPr>
          <w:p>
            <w:pPr>
              <w:numPr>
                <w:ilvl w:val="0"/>
                <w:numId w:val="688440527"/>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Hildegard Brandt, Top 35</w:t>
            </w:r>
          </w:p>
          <w:p>
            <w:pPr>
              <w:numPr>
                <w:ilvl w:val="0"/>
                <w:numId w:val="688440527"/>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Hertha Olaschrofsky, Top 40</w:t>
            </w:r>
          </w:p>
          <w:p>
            <w:pPr>
              <w:numPr>
                <w:ilvl w:val="0"/>
                <w:numId w:val="688440527"/>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Hannelore Hüpf, Top 45</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Alle: 1150 Wien, Glückauf-Gasse 39</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Antragsgegner: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Hausverwaltung Herbert Musterhof,</w:t>
            </w:r>
            <w:r>
              <w:rPr>
                <w:rFonts w:ascii="Arial" w:hAnsi="Arial" w:eastAsia="Arial" w:cs="Arial"/>
                <w:color w:val="000000"/>
                <w:position w:val="0"/>
                <w:sz w:val="20"/>
                <w:szCs w:val="20"/>
                <w:shd w:val="clear" w:color="auto" w:fill="FFFFFF"/>
              </w:rPr>
              <w:br/>
              <w:t xml:space="preserve">1130 Wien,</w:t>
            </w:r>
            <w:r>
              <w:rPr>
                <w:rFonts w:ascii="Arial" w:hAnsi="Arial" w:eastAsia="Arial" w:cs="Arial"/>
                <w:color w:val="000000"/>
                <w:position w:val="0"/>
                <w:sz w:val="20"/>
                <w:szCs w:val="20"/>
                <w:shd w:val="clear" w:color="auto" w:fill="FFFFFF"/>
              </w:rPr>
              <w:br/>
              <w:t xml:space="preserve">Laungasse 33</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34 WEG</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Rechnungslegung</w:t>
      </w:r>
    </w:p>
    <w:p>
      <w:pPr>
        <w:widowControl w:val="on"/>
        <w:pBdr/>
        <w:spacing w:before="140" w:after="240" w:line="288" w:lineRule="auto"/>
        <w:ind w:left="0" w:right="0"/>
        <w:jc w:val="right"/>
      </w:pPr>
      <w:r>
        <w:rPr>
          <w:rFonts w:ascii="Arial" w:hAnsi="Arial" w:eastAsia="Arial" w:cs="Arial"/>
          <w:color w:val="000000"/>
          <w:sz w:val="20"/>
          <w:szCs w:val="20"/>
        </w:rPr>
        <w:t xml:space="preserve">3-fach</w:t>
      </w:r>
      <w:r>
        <w:rPr>
          <w:rFonts w:ascii="Arial" w:hAnsi="Arial" w:eastAsia="Arial" w:cs="Arial"/>
          <w:color w:val="000000"/>
          <w:sz w:val="20"/>
          <w:szCs w:val="20"/>
        </w:rPr>
        <w:br/>
        <w:t xml:space="preserve">1 HS</w:t>
      </w:r>
    </w:p>
    <w:p>
      <w:pPr>
        <w:widowControl w:val="on"/>
        <w:pBdr/>
        <w:spacing w:before="140" w:after="240" w:line="288" w:lineRule="auto"/>
        <w:ind w:left="0" w:right="0"/>
        <w:jc w:val="left"/>
      </w:pPr>
      <w:r>
        <w:rPr>
          <w:rFonts w:ascii="Arial" w:hAnsi="Arial" w:eastAsia="Arial" w:cs="Arial"/>
          <w:color w:val="000000"/>
          <w:sz w:val="20"/>
          <w:szCs w:val="20"/>
        </w:rPr>
        <w:t xml:space="preserve">Wir sind Miteigentümer der Liegenschaft in 1150 Wien,
Glückauf-Gasse 39, Top 35, 40 und 45. Der Antragsgegner ist
Verwalter der gegenständlichen Liegenschaft.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Offenes Grundbuch</w:t>
            </w:r>
            <w:r>
              <w:rPr>
                <w:rFonts w:ascii="Arial" w:hAnsi="Arial" w:eastAsia="Arial" w:cs="Arial"/>
                <w:color w:val="000000"/>
                <w:position w:val="0"/>
                <w:sz w:val="20"/>
                <w:szCs w:val="20"/>
                <w:shd w:val="clear" w:color="auto" w:fill="FFFFFF"/>
              </w:rPr>
              <w:br/>
              <w:t xml:space="preserve">Vorzulegende Urkunden</w:t>
            </w:r>
            <w:r>
              <w:rPr>
                <w:rFonts w:ascii="Arial" w:hAnsi="Arial" w:eastAsia="Arial" w:cs="Arial"/>
                <w:color w:val="000000"/>
                <w:position w:val="0"/>
                <w:sz w:val="20"/>
                <w:szCs w:val="20"/>
                <w:shd w:val="clear" w:color="auto" w:fill="FFFFFF"/>
              </w:rPr>
              <w:br/>
              <w:t xml:space="preserve">PV</w:t>
            </w:r>
          </w:p>
        </w:tc>
      </w:tr>
    </w:tbl>
    <w:p>
      <w:pPr>
        <w:widowControl w:val="on"/>
        <w:pBdr/>
        <w:spacing w:before="140" w:after="240" w:line="288" w:lineRule="auto"/>
        <w:ind w:left="0" w:right="0"/>
        <w:jc w:val="left"/>
      </w:pPr>
      <w:r>
        <w:rPr>
          <w:rFonts w:ascii="Arial" w:hAnsi="Arial" w:eastAsia="Arial" w:cs="Arial"/>
          <w:color w:val="000000"/>
          <w:sz w:val="20"/>
          <w:szCs w:val="20"/>
        </w:rPr>
        <w:t xml:space="preserve">Der Antragsgegner hat uns über die Verwaltung des
gegenständlichen Hauses für das Jahr 2018, 2019 und 2020 die als
Beilage beigeschlossenen Abrechnungen übersandt. Diese erfüllen
jedoch nicht die gesetzlich vorgeschriebenen Erfordernisse.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Abrechnungen für die Jahre 2018, 2019 und 2020</w:t>
            </w:r>
            <w:r>
              <w:rPr>
                <w:rFonts w:ascii="Arial" w:hAnsi="Arial" w:eastAsia="Arial" w:cs="Arial"/>
                <w:color w:val="000000"/>
                <w:position w:val="0"/>
                <w:sz w:val="20"/>
                <w:szCs w:val="20"/>
                <w:shd w:val="clear" w:color="auto" w:fill="FFFFFF"/>
              </w:rPr>
              <w:br/>
              <w:t xml:space="preserve">PV</w:t>
            </w:r>
          </w:p>
        </w:tc>
      </w:tr>
    </w:tbl>
    <w:p>
      <w:pPr>
        <w:widowControl w:val="on"/>
        <w:pBdr/>
        <w:spacing w:before="140" w:after="240" w:line="288" w:lineRule="auto"/>
        <w:ind w:left="0" w:right="0"/>
        <w:jc w:val="left"/>
      </w:pPr>
      <w:r>
        <w:rPr>
          <w:rFonts w:ascii="Arial" w:hAnsi="Arial" w:eastAsia="Arial" w:cs="Arial"/>
          <w:color w:val="000000"/>
          <w:sz w:val="20"/>
          <w:szCs w:val="20"/>
        </w:rPr>
        <w:t xml:space="preserve">Die Rechnungslegung soll den Berechtigen ausreichend Grundlage
liefern, die pflichtgemäße Erfüllung der mit der Verwaltung des
gemeinsamen Eigentums verbundenen Aufgaben anhand der verzeichneten
Einnahmen und Ausgaben unter Heranziehung der zugehörigen Belege
nach den Gesichtspunkten der Rechtmäßigkeit, Wirtschaftlichkeit und
Zweckmäßigkeit zu überprüfen. Damit dieser Zweck erreicht werden
kann, ist es erforderlich, dass die Einnahme- und Ausgabeposten
möglichst detailliert angegeben und aufgeschlüsselt werden und
konkret ausgewiesen wird, wofür und an wen Zahlungen geleistet
wurden und von wem und wofür Geld angenommen wurde. Die einzelnen
Rechtsgeschäfte müssen durch Anführung der Vertragspartner und der
Leistung individualisiert sein. Zur Ermöglichung der Kontrolle
müssen die Belege bezeichnet sein, damit sie in der Belegsammlung,
die entsprechend übersichtlich geführt werden muss, leicht
auffindbar sind (MietSlg 34.542).</w:t>
      </w:r>
    </w:p>
    <w:p>
      <w:pPr>
        <w:widowControl w:val="on"/>
        <w:pBdr/>
        <w:spacing w:before="140" w:after="240" w:line="288" w:lineRule="auto"/>
        <w:ind w:left="0" w:right="0"/>
        <w:jc w:val="left"/>
      </w:pPr>
      <w:r>
        <w:rPr>
          <w:rFonts w:ascii="Arial" w:hAnsi="Arial" w:eastAsia="Arial" w:cs="Arial"/>
          <w:color w:val="000000"/>
          <w:sz w:val="20"/>
          <w:szCs w:val="20"/>
        </w:rPr>
        <w:t xml:space="preserve">Diesen Grundsätzen entsprechen die vorgelegten Abrechnungen in
keiner Weise.</w:t>
      </w:r>
    </w:p>
    <w:p>
      <w:pPr>
        <w:widowControl w:val="on"/>
        <w:pBdr/>
        <w:spacing w:before="140" w:after="240" w:line="288" w:lineRule="auto"/>
        <w:ind w:left="0" w:right="0"/>
        <w:jc w:val="left"/>
      </w:pPr>
      <w:r>
        <w:rPr>
          <w:rFonts w:ascii="Arial" w:hAnsi="Arial" w:eastAsia="Arial" w:cs="Arial"/>
          <w:color w:val="000000"/>
          <w:sz w:val="20"/>
          <w:szCs w:val="20"/>
        </w:rPr>
        <w:t xml:space="preserve">Die Beanstandungen der BK-2018, 2019 und 2020 werden wie folgt
präzisiert:</w:t>
      </w:r>
    </w:p>
    <w:p>
      <w:pPr>
        <w:widowControl w:val="on"/>
        <w:pBdr/>
        <w:spacing w:before="140" w:after="240" w:line="288" w:lineRule="auto"/>
        <w:ind w:left="0" w:right="0"/>
        <w:jc w:val="left"/>
      </w:pPr>
      <w:r>
        <w:rPr>
          <w:rFonts w:ascii="Arial" w:hAnsi="Arial" w:eastAsia="Arial" w:cs="Arial"/>
          <w:color w:val="000000"/>
          <w:sz w:val="20"/>
          <w:szCs w:val="20"/>
        </w:rPr>
        <w:t xml:space="preserve">BK-2018</w:t>
      </w:r>
      <w:r>
        <w:rPr>
          <w:rFonts w:ascii="Arial" w:hAnsi="Arial" w:eastAsia="Arial" w:cs="Arial"/>
          <w:color w:val="000000"/>
          <w:sz w:val="20"/>
          <w:szCs w:val="20"/>
        </w:rPr>
        <w:br/>
        <w:t xml:space="preserve">Für die Positionen „Gerichtskosten“ und „Entrümpelung“ (Belegnummer
130, 140, 200) wurden keine Belege übergeben.</w:t>
      </w:r>
    </w:p>
    <w:p>
      <w:pPr>
        <w:widowControl w:val="on"/>
        <w:pBdr/>
        <w:spacing w:before="140" w:after="240" w:line="288" w:lineRule="auto"/>
        <w:ind w:left="0" w:right="0"/>
        <w:jc w:val="left"/>
      </w:pPr>
      <w:r>
        <w:rPr>
          <w:rFonts w:ascii="Arial" w:hAnsi="Arial" w:eastAsia="Arial" w:cs="Arial"/>
          <w:color w:val="000000"/>
          <w:sz w:val="20"/>
          <w:szCs w:val="20"/>
        </w:rPr>
        <w:t xml:space="preserve">Bei der Position „Waschküche“ fehlen die Daten zur Überprüfung
der Einnahmen. Der Beleg für „Miele Reparatur“ über EUR 145,–
fehlt.</w:t>
      </w:r>
    </w:p>
    <w:p>
      <w:pPr>
        <w:widowControl w:val="on"/>
        <w:pBdr/>
        <w:spacing w:before="140" w:after="240" w:line="288" w:lineRule="auto"/>
        <w:ind w:left="0" w:right="0"/>
        <w:jc w:val="left"/>
      </w:pPr>
      <w:r>
        <w:rPr>
          <w:rFonts w:ascii="Arial" w:hAnsi="Arial" w:eastAsia="Arial" w:cs="Arial"/>
          <w:color w:val="000000"/>
          <w:sz w:val="20"/>
          <w:szCs w:val="20"/>
        </w:rPr>
        <w:t xml:space="preserve">BK-2019</w:t>
      </w:r>
      <w:r>
        <w:rPr>
          <w:rFonts w:ascii="Arial" w:hAnsi="Arial" w:eastAsia="Arial" w:cs="Arial"/>
          <w:color w:val="000000"/>
          <w:sz w:val="20"/>
          <w:szCs w:val="20"/>
        </w:rPr>
        <w:br/>
        <w:t xml:space="preserve">Hier wurden die Positionen der Dachsanierung nicht aufgeschlüsselt,
sodass die einzelnen Reparaturarbeiten und die Beträge nicht
nachvollziehbar sind.</w:t>
      </w:r>
    </w:p>
    <w:p>
      <w:pPr>
        <w:widowControl w:val="on"/>
        <w:pBdr/>
        <w:spacing w:before="140" w:after="240" w:line="288" w:lineRule="auto"/>
        <w:ind w:left="0" w:right="0"/>
        <w:jc w:val="left"/>
      </w:pPr>
      <w:r>
        <w:rPr>
          <w:rFonts w:ascii="Arial" w:hAnsi="Arial" w:eastAsia="Arial" w:cs="Arial"/>
          <w:color w:val="000000"/>
          <w:sz w:val="20"/>
          <w:szCs w:val="20"/>
        </w:rPr>
        <w:t xml:space="preserve">BK-2020</w:t>
      </w:r>
      <w:r>
        <w:rPr>
          <w:rFonts w:ascii="Arial" w:hAnsi="Arial" w:eastAsia="Arial" w:cs="Arial"/>
          <w:color w:val="000000"/>
          <w:sz w:val="20"/>
          <w:szCs w:val="20"/>
        </w:rPr>
        <w:br/>
        <w:t xml:space="preserve">Hier wurden für das 4. Quartal 2020 überhaupt keine Belege zur
Verfügung gestellt.</w:t>
      </w:r>
    </w:p>
    <w:p>
      <w:pPr>
        <w:widowControl w:val="on"/>
        <w:pBdr/>
        <w:spacing w:before="140" w:after="240" w:line="288" w:lineRule="auto"/>
        <w:ind w:left="0" w:right="0"/>
        <w:jc w:val="left"/>
      </w:pPr>
      <w:r>
        <w:rPr>
          <w:rFonts w:ascii="Arial" w:hAnsi="Arial" w:eastAsia="Arial" w:cs="Arial"/>
          <w:color w:val="000000"/>
          <w:sz w:val="20"/>
          <w:szCs w:val="20"/>
        </w:rPr>
        <w:t xml:space="preserve">Nachstehende Beanstandungen betreffen alle angeführten
BK-Abrechnungen: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Stellplätze</w:t>
      </w:r>
    </w:p>
    <w:p>
      <w:pPr>
        <w:widowControl w:val="on"/>
        <w:pBdr/>
        <w:spacing w:before="140" w:after="240" w:line="288" w:lineRule="auto"/>
        <w:ind w:left="0" w:right="0"/>
        <w:jc w:val="left"/>
      </w:pPr>
      <w:r>
        <w:rPr>
          <w:rFonts w:ascii="Arial" w:hAnsi="Arial" w:eastAsia="Arial" w:cs="Arial"/>
          <w:color w:val="000000"/>
          <w:sz w:val="20"/>
          <w:szCs w:val="20"/>
        </w:rPr>
        <w:t xml:space="preserve">Wann und von wem und ob überhaupt die Vorschreibungen bezahlt
wurden, ist nicht ersichtlich.</w:t>
      </w:r>
      <w:r>
        <w:rPr>
          <w:rFonts w:ascii="Arial" w:hAnsi="Arial" w:eastAsia="Arial" w:cs="Arial"/>
          <w:color w:val="000000"/>
          <w:sz w:val="20"/>
          <w:szCs w:val="20"/>
        </w:rPr>
        <w:br/>
        <w:t xml:space="preserve">Da bis heute eine ordnungsgemäße Abrechnung für die Jahre 2018 bis
2020 nicht erfolgt ist, stellen wir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auf Feststellung der inhaltlichen Unrichtigkeit der
BK-Abrechnungen betreffend die Liegenschaft 1150 Wien,
Glückauf-Straße 39, für die Jahre 2018 bis 2020 und auf
Feststellung des sich aus der Richtigstellung der BK – Abrechnungen
ergebenden Überschuss- oder Fehlbetrags in der Höhe von EUR …
[Betrag].</w:t>
      </w:r>
    </w:p>
    <w:p>
      <w:pPr>
        <w:widowControl w:val="on"/>
        <w:pBdr/>
        <w:spacing w:before="140" w:after="240" w:line="288" w:lineRule="auto"/>
        <w:ind w:left="0" w:right="0"/>
        <w:jc w:val="left"/>
      </w:pPr>
      <w:r>
        <w:rPr>
          <w:rFonts w:ascii="Arial" w:hAnsi="Arial" w:eastAsia="Arial" w:cs="Arial"/>
          <w:color w:val="000000"/>
          <w:sz w:val="20"/>
          <w:szCs w:val="20"/>
        </w:rPr>
        <w:t xml:space="preserv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7516206" w:name="note1"/>
            <w:bookmarkEnd w:id="17516206"/>
            <w:bookmarkStart w:id="6188877655372" w:name="note1"/>
            <w:r>
              <w:rPr>
                <w:rFonts w:ascii="Arial" w:hAnsi="Arial" w:eastAsia="Arial" w:cs="Arial"/>
                <w:b/>
                <w:bCs/>
                <w:color w:val="000000"/>
                <w:position w:val="0"/>
                <w:sz w:val="20"/>
                <w:szCs w:val="20"/>
              </w:rPr>
              <w:t xml:space="preserve">[1]</w:t>
            </w:r>
            <w:bookmarkEnd w:id="618887765537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vom Gesetz vorgegebene Abrechnungsperiode ist das
Kalenderjahr. Der Verwalter ist verpflichtet, die Abrechnung jedem
Wohnungseigentümer binnen sechs Monaten nach Ablauf der
Abrechnungsperiode zu übermitteln. Eine Verlängerung oder
Verkürzung der Frist durch Vereinbarung ist unzulässig (§ 34
Abs 1 WEG 2002). Die Abrechnung ist innerhalb der
Abrechnungsfrist an jeden einzelnen Wohnungseigentümer an die
Zustellfristen des § 24 Abs 5 zu übersenden. Eine
Übersendung per Telefax oder E-Mail kann stattfinden, wenn das
zwischen dem Verwalter und dem jeweiligen Wohnungseigentümer
vereinbart ist (1050 BlgNr 21. GP,14).</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7336241" w:name="note2"/>
            <w:bookmarkEnd w:id="97336241"/>
            <w:bookmarkStart w:id="9674849292511" w:name="note2"/>
            <w:r>
              <w:rPr>
                <w:rFonts w:ascii="Arial" w:hAnsi="Arial" w:eastAsia="Arial" w:cs="Arial"/>
                <w:b/>
                <w:bCs/>
                <w:color w:val="000000"/>
                <w:position w:val="0"/>
                <w:sz w:val="20"/>
                <w:szCs w:val="20"/>
              </w:rPr>
              <w:t xml:space="preserve">[2]</w:t>
            </w:r>
            <w:bookmarkEnd w:id="967484929251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Abrechnung hat alle die Liegenschaft betreffenden
Geldflüsse zu bezeichnen, den Verwendungszweck, alle Einnahmen- und
Ausgabenposten detailliert anzugeben, damit der einzelne
Wohnungseigentümer die ziffernmäßige Richtigkeit kontrollieren
kann.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 die Abrechnung im Sinne des WEG eine
Einnahmen-Ausgaben-Rechnung zu sein hat, ist es unerlässlich, auch
in die Zahlungsbelege und Kontoauszüge Einsicht zu nehmen, da nur
so die tatsächlichen Zahlungsflüsse überprüft und nachvollzogen
werden können. Die Abrechnung und die Belegsammlung sind als
Einheit zu sehen und gemeinsam zu kontrollieren.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Durchsetzung des Anspruchs auf Rechnungslegung kann durch
jeden Miteigentümer erfolgen.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9291944" w:name="note3"/>
            <w:bookmarkEnd w:id="89291944"/>
            <w:bookmarkStart w:id="5456641392478" w:name="note3"/>
            <w:r>
              <w:rPr>
                <w:rFonts w:ascii="Arial" w:hAnsi="Arial" w:eastAsia="Arial" w:cs="Arial"/>
                <w:b/>
                <w:bCs/>
                <w:color w:val="000000"/>
                <w:position w:val="0"/>
                <w:sz w:val="20"/>
                <w:szCs w:val="20"/>
              </w:rPr>
              <w:t xml:space="preserve">[3]</w:t>
            </w:r>
            <w:bookmarkEnd w:id="545664139247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Anspruch auf Legung einer ordentlichen und richtigen
Abrechnung verjährt gem § 34 Abs 1 WEG innerhalb von
drei Jahren ab dem Ende der Abrechnungsfrist. Ordnungsgemäß ist
eine Abrechnung dann, wenn sie formell vollständig ist. Insgesamt
muss die Abrechnung so übersichtlich und klar sein, dass sie von
einem Wohnungseigentümer von durchschnittlicher Intelligenz und
Bildung verstanden wird. Abkürzungen und Symbole müssen erläutert
werden. Bei der Umsatzsteuer reicht es aus, wenn in der Abrechnung
die vorsteuerentlastenden Ausgaben angeführt werden und die
Umsatzsteuer in einem Gesamtbetrag ausgeworfen wird.</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4624911" w:name="note4"/>
            <w:bookmarkEnd w:id="74624911"/>
            <w:bookmarkStart w:id="5159602179317" w:name="note4"/>
            <w:r>
              <w:rPr>
                <w:rFonts w:ascii="Arial" w:hAnsi="Arial" w:eastAsia="Arial" w:cs="Arial"/>
                <w:b/>
                <w:bCs/>
                <w:color w:val="000000"/>
                <w:position w:val="0"/>
                <w:sz w:val="20"/>
                <w:szCs w:val="20"/>
              </w:rPr>
              <w:t xml:space="preserve">[4]</w:t>
            </w:r>
            <w:bookmarkEnd w:id="515960217931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Besteht der Mangel der Abrechnung nur in einer inhaltlichen
Unrichtigkeit, so hat sich gem § 34 Abs 3 WEG die
gerichtliche Entscheidung auf die Feststellung der Unrichtigkeit
sowie des sich aus der Richtigstellung ergebenden Überschuss- oder
Fehlbetrags zu beschränken. Richtig ist eine Abrechnung dann, wenn
es sich um ein in sich schlüssiges, also rechnerisch richtiges
Zahlenwerk handelt, jede Abrechnungsposition ordnungsgemäß belegt
ist und das Abrechnungsergebnis entsprechend dem für die
Liegenschaft geltenden Aufteilungsschlüssel richtig verteilt
ist.</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8440527">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18139990">
    <w:multiLevelType w:val="hybridMultilevel"/>
    <w:lvl w:ilvl="0" w:tplc="34877839">
      <w:start w:val="1"/>
      <w:numFmt w:val="decimal"/>
      <w:lvlText w:val="%1."/>
      <w:lvlJc w:val="left"/>
      <w:pPr>
        <w:ind w:left="720" w:hanging="360"/>
      </w:pPr>
    </w:lvl>
    <w:lvl w:ilvl="1" w:tplc="34877839" w:tentative="1">
      <w:start w:val="1"/>
      <w:numFmt w:val="lowerLetter"/>
      <w:lvlText w:val="%2."/>
      <w:lvlJc w:val="left"/>
      <w:pPr>
        <w:ind w:left="1440" w:hanging="360"/>
      </w:pPr>
    </w:lvl>
    <w:lvl w:ilvl="2" w:tplc="34877839" w:tentative="1">
      <w:start w:val="1"/>
      <w:numFmt w:val="lowerRoman"/>
      <w:lvlText w:val="%3."/>
      <w:lvlJc w:val="right"/>
      <w:pPr>
        <w:ind w:left="2160" w:hanging="180"/>
      </w:pPr>
    </w:lvl>
    <w:lvl w:ilvl="3" w:tplc="34877839" w:tentative="1">
      <w:start w:val="1"/>
      <w:numFmt w:val="decimal"/>
      <w:lvlText w:val="%4."/>
      <w:lvlJc w:val="left"/>
      <w:pPr>
        <w:ind w:left="2880" w:hanging="360"/>
      </w:pPr>
    </w:lvl>
    <w:lvl w:ilvl="4" w:tplc="34877839" w:tentative="1">
      <w:start w:val="1"/>
      <w:numFmt w:val="lowerLetter"/>
      <w:lvlText w:val="%5."/>
      <w:lvlJc w:val="left"/>
      <w:pPr>
        <w:ind w:left="3600" w:hanging="360"/>
      </w:pPr>
    </w:lvl>
    <w:lvl w:ilvl="5" w:tplc="34877839" w:tentative="1">
      <w:start w:val="1"/>
      <w:numFmt w:val="lowerRoman"/>
      <w:lvlText w:val="%6."/>
      <w:lvlJc w:val="right"/>
      <w:pPr>
        <w:ind w:left="4320" w:hanging="180"/>
      </w:pPr>
    </w:lvl>
    <w:lvl w:ilvl="6" w:tplc="34877839" w:tentative="1">
      <w:start w:val="1"/>
      <w:numFmt w:val="decimal"/>
      <w:lvlText w:val="%7."/>
      <w:lvlJc w:val="left"/>
      <w:pPr>
        <w:ind w:left="5040" w:hanging="360"/>
      </w:pPr>
    </w:lvl>
    <w:lvl w:ilvl="7" w:tplc="34877839" w:tentative="1">
      <w:start w:val="1"/>
      <w:numFmt w:val="lowerLetter"/>
      <w:lvlText w:val="%8."/>
      <w:lvlJc w:val="left"/>
      <w:pPr>
        <w:ind w:left="5760" w:hanging="360"/>
      </w:pPr>
    </w:lvl>
    <w:lvl w:ilvl="8" w:tplc="34877839" w:tentative="1">
      <w:start w:val="1"/>
      <w:numFmt w:val="lowerRoman"/>
      <w:lvlText w:val="%9."/>
      <w:lvlJc w:val="right"/>
      <w:pPr>
        <w:ind w:left="6480" w:hanging="180"/>
      </w:pPr>
    </w:lvl>
  </w:abstractNum>
  <w:abstractNum w:abstractNumId="33127544">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18139989">
    <w:multiLevelType w:val="hybridMultilevel"/>
    <w:lvl w:ilvl="0" w:tplc="36170733">
      <w:start w:val="1"/>
      <w:numFmt w:val="decimal"/>
      <w:lvlText w:val="%1."/>
      <w:lvlJc w:val="left"/>
      <w:pPr>
        <w:ind w:left="720" w:hanging="360"/>
      </w:pPr>
    </w:lvl>
    <w:lvl w:ilvl="1" w:tplc="36170733" w:tentative="1">
      <w:start w:val="1"/>
      <w:numFmt w:val="lowerLetter"/>
      <w:lvlText w:val="%2."/>
      <w:lvlJc w:val="left"/>
      <w:pPr>
        <w:ind w:left="1440" w:hanging="360"/>
      </w:pPr>
    </w:lvl>
    <w:lvl w:ilvl="2" w:tplc="36170733" w:tentative="1">
      <w:start w:val="1"/>
      <w:numFmt w:val="lowerRoman"/>
      <w:lvlText w:val="%3."/>
      <w:lvlJc w:val="right"/>
      <w:pPr>
        <w:ind w:left="2160" w:hanging="180"/>
      </w:pPr>
    </w:lvl>
    <w:lvl w:ilvl="3" w:tplc="36170733" w:tentative="1">
      <w:start w:val="1"/>
      <w:numFmt w:val="decimal"/>
      <w:lvlText w:val="%4."/>
      <w:lvlJc w:val="left"/>
      <w:pPr>
        <w:ind w:left="2880" w:hanging="360"/>
      </w:pPr>
    </w:lvl>
    <w:lvl w:ilvl="4" w:tplc="36170733" w:tentative="1">
      <w:start w:val="1"/>
      <w:numFmt w:val="lowerLetter"/>
      <w:lvlText w:val="%5."/>
      <w:lvlJc w:val="left"/>
      <w:pPr>
        <w:ind w:left="3600" w:hanging="360"/>
      </w:pPr>
    </w:lvl>
    <w:lvl w:ilvl="5" w:tplc="36170733" w:tentative="1">
      <w:start w:val="1"/>
      <w:numFmt w:val="lowerRoman"/>
      <w:lvlText w:val="%6."/>
      <w:lvlJc w:val="right"/>
      <w:pPr>
        <w:ind w:left="4320" w:hanging="180"/>
      </w:pPr>
    </w:lvl>
    <w:lvl w:ilvl="6" w:tplc="36170733" w:tentative="1">
      <w:start w:val="1"/>
      <w:numFmt w:val="decimal"/>
      <w:lvlText w:val="%7."/>
      <w:lvlJc w:val="left"/>
      <w:pPr>
        <w:ind w:left="5040" w:hanging="360"/>
      </w:pPr>
    </w:lvl>
    <w:lvl w:ilvl="7" w:tplc="36170733" w:tentative="1">
      <w:start w:val="1"/>
      <w:numFmt w:val="lowerLetter"/>
      <w:lvlText w:val="%8."/>
      <w:lvlJc w:val="left"/>
      <w:pPr>
        <w:ind w:left="5760" w:hanging="360"/>
      </w:pPr>
    </w:lvl>
    <w:lvl w:ilvl="8" w:tplc="36170733" w:tentative="1">
      <w:start w:val="1"/>
      <w:numFmt w:val="lowerRoman"/>
      <w:lvlText w:val="%9."/>
      <w:lvlJc w:val="right"/>
      <w:pPr>
        <w:ind w:left="6480" w:hanging="180"/>
      </w:pPr>
    </w:lvl>
  </w:abstractNum>
  <w:abstractNum w:abstractNumId="18139988">
    <w:multiLevelType w:val="hybridMultilevel"/>
    <w:lvl w:ilvl="0" w:tplc="490070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139988">
    <w:abstractNumId w:val="18139988"/>
  </w:num>
  <w:num w:numId="18139989">
    <w:abstractNumId w:val="18139989"/>
  </w:num>
  <w:num w:numId="33127544">
    <w:abstractNumId w:val="33127544"/>
  </w:num>
  <w:num w:numId="18139990">
    <w:abstractNumId w:val="18139990"/>
  </w:num>
  <w:num w:numId="688440527">
    <w:abstractNumId w:val="6884405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71458061" Type="http://schemas.openxmlformats.org/officeDocument/2006/relationships/numbering" Target="numbering.xml"/><Relationship Id="rId96383927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