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0798901" w:name="document"/>
    <w:bookmarkEnd w:id="90798901"/>
    <w:p/>
    <w:p>
      <w:pPr>
        <w:widowControl w:val="on"/>
        <w:pBdr/>
        <w:spacing w:before="0" w:after="280" w:line="240" w:lineRule="auto"/>
        <w:ind w:left="0" w:right="0"/>
        <w:jc w:val="left"/>
      </w:pPr>
      <w:r>
        <w:rPr>
          <w:rFonts w:ascii="Arial" w:hAnsi="Arial" w:eastAsia="Arial" w:cs="Arial"/>
          <w:color w:val="363A40"/>
          <w:sz w:val="24"/>
          <w:szCs w:val="24"/>
        </w:rPr>
        <w:t xml:space="preserve">Dokument-ID: 1012487 | Gottfried Schellmann -
Stanislava Doganova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Entlassungsanfechtung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 Entlassungsanfechtung ist eine Klage auf Aufhebung einer
ausgesprochenen Entlassung gem §§ 105, 106 ArbVG. Dieses
Muster behandelt den in der Praxis öfter vorkommenden Fall der
Entlassung wegen Untreue sowie die Entlassungsanfechtung aufgrund
von Sozialwidrigkeit und das vom Arbeitgeber fälschlich angenommene
Aussprechen eines Entlassungsgrundes.</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 gebührenbefreit</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Karl Kämpfer</w:t>
      </w:r>
      <w:r>
        <w:rPr>
          <w:rFonts w:ascii="Arial" w:hAnsi="Arial" w:eastAsia="Arial" w:cs="Arial"/>
          <w:color w:val="000000"/>
          <w:sz w:val="20"/>
          <w:szCs w:val="20"/>
        </w:rPr>
        <w:br/>
        <w:t xml:space="preserve">Kolingasse 15</w:t>
      </w:r>
      <w:r>
        <w:rPr>
          <w:rFonts w:ascii="Arial" w:hAnsi="Arial" w:eastAsia="Arial" w:cs="Arial"/>
          <w:color w:val="000000"/>
          <w:sz w:val="20"/>
          <w:szCs w:val="20"/>
        </w:rPr>
        <w:br/>
        <w:t xml:space="preserve">1090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Arbeits- und Sozialgericht Wien</w:t>
      </w:r>
      <w:r>
        <w:rPr>
          <w:rFonts w:ascii="Arial" w:hAnsi="Arial" w:eastAsia="Arial" w:cs="Arial"/>
          <w:color w:val="000000"/>
          <w:sz w:val="20"/>
          <w:szCs w:val="20"/>
        </w:rPr>
        <w:br/>
        <w:t xml:space="preserve">Wickenburggasse 8</w:t>
      </w:r>
      <w:r>
        <w:rPr>
          <w:rFonts w:ascii="Arial" w:hAnsi="Arial" w:eastAsia="Arial" w:cs="Arial"/>
          <w:color w:val="000000"/>
          <w:sz w:val="20"/>
          <w:szCs w:val="20"/>
        </w:rPr>
        <w:br/>
        <w:t xml:space="preserve">1080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30.11.2014</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Friedrich Fleißig</w:t>
            </w:r>
            <w:r>
              <w:rPr>
                <w:rFonts w:ascii="Arial" w:hAnsi="Arial" w:eastAsia="Arial" w:cs="Arial"/>
                <w:color w:val="000000"/>
                <w:position w:val="0"/>
                <w:sz w:val="20"/>
                <w:szCs w:val="20"/>
                <w:shd w:val="clear" w:color="auto" w:fill="FFFFFF"/>
              </w:rPr>
              <w:br/>
              <w:t xml:space="preserve">Sommergasse 20</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Karl Kämpfer</w:t>
            </w:r>
            <w:r>
              <w:rPr>
                <w:rFonts w:ascii="Arial" w:hAnsi="Arial" w:eastAsia="Arial" w:cs="Arial"/>
                <w:color w:val="000000"/>
                <w:position w:val="0"/>
                <w:sz w:val="20"/>
                <w:szCs w:val="20"/>
                <w:shd w:val="clear" w:color="auto" w:fill="FFFFFF"/>
              </w:rPr>
              <w:br/>
              <w:t xml:space="preserve">Kolingasse 15</w:t>
            </w:r>
            <w:r>
              <w:rPr>
                <w:rFonts w:ascii="Arial" w:hAnsi="Arial" w:eastAsia="Arial" w:cs="Arial"/>
                <w:color w:val="000000"/>
                <w:position w:val="0"/>
                <w:sz w:val="20"/>
                <w:szCs w:val="20"/>
                <w:shd w:val="clear" w:color="auto" w:fill="FFFFFF"/>
              </w:rPr>
              <w:br/>
              <w:t xml:space="preserve">1090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Schinden und Schaffen AG</w:t>
            </w:r>
            <w:r>
              <w:rPr>
                <w:rFonts w:ascii="Arial" w:hAnsi="Arial" w:eastAsia="Arial" w:cs="Arial"/>
                <w:color w:val="000000"/>
                <w:position w:val="0"/>
                <w:sz w:val="20"/>
                <w:szCs w:val="20"/>
                <w:shd w:val="clear" w:color="auto" w:fill="FFFFFF"/>
              </w:rPr>
              <w:br/>
              <w:t xml:space="preserve">Plattensteinergasse 3</w:t>
            </w:r>
            <w:r>
              <w:rPr>
                <w:rFonts w:ascii="Arial" w:hAnsi="Arial" w:eastAsia="Arial" w:cs="Arial"/>
                <w:color w:val="000000"/>
                <w:position w:val="0"/>
                <w:sz w:val="20"/>
                <w:szCs w:val="20"/>
                <w:shd w:val="clear" w:color="auto" w:fill="FFFFFF"/>
              </w:rPr>
              <w:br/>
              <w:t xml:space="preserve">1220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Entlassungsanfechtung (JN EUR 5.000,–/GGG
EUR 750,–/RATG EUR 5.000,–)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6 Beilagen</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hat der Kläger
Rechtsanwalt Mag. Karl Kämpfer mit seiner Vertretung beauftragt.
Durch seinen ausgewiesenen Vertreter erhebt der Kläger folgende</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Der Kläger und die beklagte Partei standen seit 34 Jahren in
einem Dienstverhältnis. Das Dienstverhältnis wurde am 01.02.1980
eingegangen und auf unbestimmte Dauer abgeschlossen. Der Kläger
verrichtete Sekretariatsaufgaben für die beklagte Partei. Die
Arbeitszeit des Klägers war Montag bis Freitag von 08:00–16:00 Uhr.
Der gewöhnliche Arbeitsort war in der Plattensteinergasse 3, A-1220
Wien. Die benötigten Arbeitsmittel wurden von der beklagten Partei
zur Verfügung gestellt. Der Kläger bezog am Ende des
Dienstverhältnisses ein fixes Einkommen von EUR 3.200,– brutto
von der beklagten Partei.</w:t>
      </w:r>
    </w:p>
    <w:p>
      <w:pPr>
        <w:widowControl w:val="on"/>
        <w:pBdr/>
        <w:spacing w:before="140" w:after="240" w:line="288" w:lineRule="auto"/>
        <w:ind w:left="0" w:right="0"/>
        <w:jc w:val="left"/>
      </w:pPr>
      <w:r>
        <w:rPr>
          <w:rFonts w:ascii="Arial" w:hAnsi="Arial" w:eastAsia="Arial" w:cs="Arial"/>
          <w:color w:val="000000"/>
          <w:sz w:val="20"/>
          <w:szCs w:val="20"/>
        </w:rPr>
        <w:t xml:space="preserve">Der Kläger war leitender Sekretär der beklagten Partei und hatte
das Aufsehen über die gesamte Sekretariatsabteilung bestehend aus 5
Mitarbeitern und Mitarbeiterinnen.</w:t>
      </w:r>
    </w:p>
    <w:p>
      <w:pPr>
        <w:widowControl w:val="on"/>
        <w:pBdr/>
        <w:spacing w:before="140" w:after="240" w:line="288" w:lineRule="auto"/>
        <w:ind w:left="0" w:right="0"/>
        <w:jc w:val="left"/>
      </w:pPr>
      <w:r>
        <w:rPr>
          <w:rFonts w:ascii="Arial" w:hAnsi="Arial" w:eastAsia="Arial" w:cs="Arial"/>
          <w:color w:val="000000"/>
          <w:sz w:val="20"/>
          <w:szCs w:val="20"/>
        </w:rPr>
        <w:t xml:space="preserve">Der Kläger hat jedoch jedenfalls Arbeitnehmereigenschaft, da ihm
keinerlei maßgeblicher Einfluss auf die Führung des Betriebes
zukommt.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Dienstvertrag vom 01.02.1980 Beilage ./A</w:t>
            </w:r>
            <w:r>
              <w:rPr>
                <w:rFonts w:ascii="Arial" w:hAnsi="Arial" w:eastAsia="Arial" w:cs="Arial"/>
                <w:color w:val="000000"/>
                <w:position w:val="0"/>
                <w:sz w:val="20"/>
                <w:szCs w:val="20"/>
                <w:shd w:val="clear" w:color="auto" w:fill="FFFFFF"/>
              </w:rPr>
              <w:br/>
              <w:t xml:space="preserve">Lohnzettel vom 31.08.2014 Beilage ./B</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beklagte Partei betreibt ein Bauunternehmen, das auf den Bau
von Wasserkraftwerken spezialisiert ist. Der Kläger arbeitete in
der Verwaltungszentrale der beklagten Partei. Die beklagte Partei
ist ein Unternehmen, das aktuell 98 Arbeitnehmer beschäftigt. Somit
ist gem § 40 ArbVG ein Betriebsrat einzurichten. Der
Betriebsrat der Schinden und Schaffen AG besteht aus 4 gewählten
Mitgliedern und wurde am 01.02.1983 eingerichtet.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Betriebsvereinbarung vom 20.04.1983 Beilage ./C</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beklagte Partei sprach am 17.11.2014 vertreten durch die
Geschäftsführerin Beate Biestig vor der gesamten
Sekretariatsabteilung die Entlassung des Klägers aus. Die
Entlassung wurde dem Kläger gegenüber mündlich verkündet, sowie
mittels RSb-Brief zugestellt. Als wichtiger Grund wurde von der
beklagten Partei Untreue angegeben. Der Kläger soll vorsätzlich und
bewusst einen Auftrag zum Bau eines Wasserkraftwerkes in der
Steiermark verschwiegen haben, wodurch der potentielle Auftraggeber
den Auftrag dem Konkurrenzunternehmen Wasserbau AG erteilt
habe.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Schriftliche Entlassung vom 17.11.2014 Beilage ./D</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Betriebsrat wurde eine Woche nach erfolgter Entlassung von
der beklagten Partei über die Entlassung des Klägers informiert.
Der Betriebsrat gab keinerlei Stellungnahme ab. Der Kläger forderte
den Betriebsrat am 26.11.2014 auf, die erfolgte Entlassung
anzufechten. Der Betriebsrat blieb untätig, dadurch ging das Recht
zur Anfechtung der Entlassung auf den Kläger über. Der Kläger ist
somit aktivlegitimiert, die Entlassung anzufechten.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Schriftliche Aufforderung zur Anfechtung der Entlassung vom
26.11.2014 Beilage ./E</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Kläger ist 54 Jahre alt und ist seit 34 Jahren bei der
beklagten Partei angestellt. Der Kläger erfüllte seine Aufgaben
immer gewissenhaft und stieg sehr schnell in der Hierarchie des
Unternehmens auf. Er hatte bis zuletzt die Leitung der
Sekretariatsabteilung inne und genießt hohes Ansehen in seiner
Abteilung. Dem Kläger wurde am 20.03.2009 ein vorläufiges
Dienstzeugnis ausgestellt, in dem seine Arbeit als höchst
zufriedenstellend bezeichnet wird.</w:t>
      </w:r>
    </w:p>
    <w:p>
      <w:pPr>
        <w:widowControl w:val="on"/>
        <w:pBdr/>
        <w:spacing w:before="140" w:after="240" w:line="288" w:lineRule="auto"/>
        <w:ind w:left="0" w:right="0"/>
        <w:jc w:val="left"/>
      </w:pPr>
      <w:r>
        <w:rPr>
          <w:rFonts w:ascii="Arial" w:hAnsi="Arial" w:eastAsia="Arial" w:cs="Arial"/>
          <w:color w:val="000000"/>
          <w:sz w:val="20"/>
          <w:szCs w:val="20"/>
        </w:rPr>
        <w:t xml:space="preserve">Der Kläger hat 4 Kinder im Alter von 7, 10, 14 und 16 Jahren.
Die Frau des Klägers ist 2010 verstorben. Der Kläger bezieht nur
Einkünfte aus seiner Tätigkeit bei der beklagten Partei. Der Kläger
hat keinerlei sonstiges nennenswertes Vermögen. Die Entlassung wäre
daher in höchstem Maße sozial ungerechtfertigt.</w:t>
      </w:r>
    </w:p>
    <w:p>
      <w:pPr>
        <w:widowControl w:val="on"/>
        <w:pBdr/>
        <w:spacing w:before="140" w:after="240" w:line="288" w:lineRule="auto"/>
        <w:ind w:left="0" w:right="0"/>
        <w:jc w:val="left"/>
      </w:pPr>
      <w:r>
        <w:rPr>
          <w:rFonts w:ascii="Arial" w:hAnsi="Arial" w:eastAsia="Arial" w:cs="Arial"/>
          <w:color w:val="000000"/>
          <w:sz w:val="20"/>
          <w:szCs w:val="20"/>
        </w:rPr>
        <w:t xml:space="preserve">Der von der beklagten Partei behauptete Entlassungsgrund ist
nicht gegeben. Der Kläger leugnet nicht, einen Fehler gemacht zu
haben, jedoch wurde der Auftrag dem Arbeitgeber keineswegs bewusst
und vorsätzlich verschwiegen. Es handelte sich vielmehr um eine
Unachtsamkeit des Klägers. Der Auftrag kam per Post und wurde dem
Kläger mit mehreren anderen Unterlagen, unter anderem sehr viel
Werbung, auf den Schreibtisch gelegt. Der Kläger hat in einer
Unachtsamkeit den Auftrag mit anderen unwichtigen Schreiben und der
Werbung geschreddert. Man kann dem Kläger hier keinesfalls
Schädigungsabsicht vorwerfen. Es handelt sich hierbei um den ersten
Fehler des Klägers in seiner 34-jährigen Beschäftigungszeit bei der
beklagten Partei.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Dienstzeugnis vom 20.03.2009 Beilage ./F</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Entlassung wurde zu Unrecht ausgesprochen, da die klagende
Partei keinerlei Entlassungsgrund gesetzt hat. Weiters ist die
klagende Partei schon mindestens 6 Monate bei der beklagten Partei
beschäftigt und wäre die Kündigung in höchstem Maße sozial
ungerechtfertigt.</w:t>
      </w:r>
    </w:p>
    <w:p>
      <w:pPr>
        <w:widowControl w:val="on"/>
        <w:pBdr/>
        <w:spacing w:before="140" w:after="240" w:line="288" w:lineRule="auto"/>
        <w:ind w:left="0" w:right="0"/>
        <w:jc w:val="left"/>
      </w:pPr>
      <w:r>
        <w:rPr>
          <w:rFonts w:ascii="Arial" w:hAnsi="Arial" w:eastAsia="Arial" w:cs="Arial"/>
          <w:color w:val="000000"/>
          <w:sz w:val="20"/>
          <w:szCs w:val="20"/>
        </w:rPr>
        <w:t xml:space="preserve">Das Arbeits- und Sozialgericht Wien ist zuständig, da sich der
Sitz der Schinden und Schaffen GmbH im 22. Wiener Gemeindebezirk
befindet und sich der Streit auf diesen Betrieb bezieht. Daher
fällt diese Streitigkeit in den Sprengel des Arbeits- und
Sozialgerichts Wien.</w:t>
      </w:r>
    </w:p>
    <w:p>
      <w:pPr>
        <w:widowControl w:val="on"/>
        <w:pBdr/>
        <w:spacing w:before="140" w:after="240" w:line="288" w:lineRule="auto"/>
        <w:ind w:left="0" w:right="0"/>
        <w:jc w:val="left"/>
      </w:pPr>
      <w:r>
        <w:rPr>
          <w:rFonts w:ascii="Arial" w:hAnsi="Arial" w:eastAsia="Arial" w:cs="Arial"/>
          <w:color w:val="000000"/>
          <w:sz w:val="20"/>
          <w:szCs w:val="20"/>
        </w:rPr>
        <w:t xml:space="preserve">Auf Grundlage der obigen Ausführungen begehrt die klagende
Partei folgendes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1464716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durch die beklagte Partei am 17.11.2014 ausgesprochene
Entlassung des Klägers wird für rechtsunwirksam erklärt.</w:t>
      </w:r>
    </w:p>
    <w:p>
      <w:pPr>
        <w:numPr>
          <w:ilvl w:val="0"/>
          <w:numId w:val="1464716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schuldig, die Prozesskosten binnen 14
Tagen zuhanden des Klagevertreters zu zahlen.</w:t>
      </w:r>
    </w:p>
    <w:p>
      <w:pPr>
        <w:widowControl w:val="on"/>
        <w:pBdr/>
        <w:spacing w:before="140" w:after="240" w:line="288" w:lineRule="auto"/>
        <w:ind w:left="0" w:right="0"/>
        <w:jc w:val="left"/>
      </w:pPr>
      <w:r>
        <w:rPr>
          <w:rFonts w:ascii="Arial" w:hAnsi="Arial" w:eastAsia="Arial" w:cs="Arial"/>
          <w:color w:val="000000"/>
          <w:sz w:val="20"/>
          <w:szCs w:val="20"/>
        </w:rPr>
        <w:t xml:space="preserve">Friedrich Fleißig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Gegenstand dieses Musters ist die Anfechtung einer
ungerechtfertigten Entlassung, bei gleichzeitigem Vorliegen eines
verpönten Kündigungsmotives. Ziel der Klage ist es, eine von einem
Arbeitgeber in ungerechtfertigter Weise ausgesprochene Entlassung
zu bekämpfen und zu bewirken, dass das Dienstverhältnis fortgesetzt
wird. Sofern die Voraussetzung einer Anfechtung, siehe dazu
sogleich im Folgenden, nicht vorliegen, verbleibt dem – auch zu
Unrecht – Entlassenen nur die Möglichkeit, Schadenersatzansprüche
geltend zu machen.</w:t>
      </w:r>
    </w:p>
    <w:p>
      <w:pPr>
        <w:widowControl w:val="on"/>
        <w:pBdr/>
        <w:spacing w:before="140" w:after="240" w:line="288" w:lineRule="auto"/>
        <w:ind w:left="0" w:right="0"/>
        <w:jc w:val="left"/>
      </w:pPr>
      <w:r>
        <w:rPr>
          <w:rFonts w:ascii="Arial" w:hAnsi="Arial" w:eastAsia="Arial" w:cs="Arial"/>
          <w:color w:val="000000"/>
          <w:sz w:val="20"/>
          <w:szCs w:val="20"/>
        </w:rPr>
        <w:t xml:space="preserve">Wird der Klage stattgegeben, führt das zur sofortigen
Weiterführung des Arbeits- bzw Dienstverhältnisses. Weiters hat der
Arbeit- bzw Dienstgeber dem zu Unrecht Entlassenen all jenes zu
ersetzen, das der zu Unrecht Entlassene in der Zeit, in der das
Arbeits- bzw Dienstverhältnis beendet war, verdient hätte.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Gebühreneinzug: gebührenbefreit</w:t>
            </w:r>
            <w:r>
              <w:rPr>
                <w:rFonts w:ascii="Arial" w:hAnsi="Arial" w:eastAsia="Arial" w:cs="Arial"/>
                <w:color w:val="000000"/>
                <w:position w:val="0"/>
                <w:sz w:val="20"/>
                <w:szCs w:val="20"/>
                <w:shd w:val="clear" w:color="auto" w:fill="FFFFFF"/>
              </w:rPr>
              <w:br/>
              <w:t xml:space="preserve">Über Konto: …</w:t>
            </w:r>
            <w:r>
              <w:rPr>
                <w:rFonts w:ascii="Arial" w:hAnsi="Arial" w:eastAsia="Arial" w:cs="Arial"/>
                <w:color w:val="000000"/>
                <w:position w:val="0"/>
                <w:sz w:val="20"/>
                <w:szCs w:val="20"/>
                <w:shd w:val="clear" w:color="auto" w:fill="FFFFFF"/>
              </w:rPr>
              <w:br/>
              <w:t xml:space="preserve">Bei der … Bank</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Die Bemessungsgrundlage beträgt gem §16 Abs1 lit a GGG
bei arbeitsrechtlichen Streitigkeiten EUR 750,–, soweit kein
Geldbetrag Gegenstand der Klage ist. Arbeitsrechtliche
Streitigkeiten sind gem Tarifpost 1 Anm 8 GGG bis zu einem
Streitwert von EUR 1.450,– gebührenfrei. Die Berechtigung zum
Gebühreneinzug könnte entfallen.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per WebERV</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 das</w:t>
            </w:r>
            <w:r>
              <w:rPr>
                <w:rFonts w:ascii="Arial" w:hAnsi="Arial" w:eastAsia="Arial" w:cs="Arial"/>
                <w:color w:val="000000"/>
                <w:position w:val="0"/>
                <w:sz w:val="20"/>
                <w:szCs w:val="20"/>
                <w:shd w:val="clear" w:color="auto" w:fill="FFFFFF"/>
              </w:rPr>
              <w:br/>
              <w:t xml:space="preserve">Arbeits- und Sozialgericht Wien</w:t>
            </w:r>
            <w:r>
              <w:rPr>
                <w:rFonts w:ascii="Arial" w:hAnsi="Arial" w:eastAsia="Arial" w:cs="Arial"/>
                <w:color w:val="000000"/>
                <w:position w:val="0"/>
                <w:sz w:val="20"/>
                <w:szCs w:val="20"/>
                <w:shd w:val="clear" w:color="auto" w:fill="FFFFFF"/>
              </w:rPr>
              <w:br/>
              <w:t xml:space="preserve">Wickenburggasse 8</w:t>
            </w:r>
            <w:r>
              <w:rPr>
                <w:rFonts w:ascii="Arial" w:hAnsi="Arial" w:eastAsia="Arial" w:cs="Arial"/>
                <w:color w:val="000000"/>
                <w:position w:val="0"/>
                <w:sz w:val="20"/>
                <w:szCs w:val="20"/>
                <w:shd w:val="clear" w:color="auto" w:fill="FFFFFF"/>
              </w:rPr>
              <w:br/>
              <w:t xml:space="preserve">1080 Wien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Zum Briefkopf siehe „Schriftsatz – Grundmuster“.</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Zur Eingabe per WebERV siehe „Schriftsatz – Grundmuster.</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Aus Gründen der Übersichtlichkeit empfiehlt sich die Angabe des
Datums auf der ersten Seite jedes Schriftsatzes.</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Gem § 3 ASGG besteht eine ausschließliche Zuständigkeit der
Landesgerichte als Arbeits- und Sozialgericht. Für den
Gerichtsprengel Wien besteht eine ausschließliche Zuständigkeit des
Arbeits- und Sozialgerichts Wien.</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Die örtliche Zuständigkeit ergibt sich aus § 4 Abs 1
ASGG. Es kann vom Kläger das Gericht, in dessen Sprengel der
Dienstnehmer seinen Wohnsitz oder gewöhnlichen Aufenthalt im
Zeitpunkt der Entlassungserklärung hatte, das Unternehmen seinen
Sitz hat, regelmäßig wenigstens ein Teil der Arbeit zu leisten war,
das Entgelt zu zahlen war oder bei grenzüberschreitender Entsendung
oder Arbeitskräfteüberlassung aus EWR-Mitgliedstaaten die Arbeit zu
leisten war, angerufen werden.</w:t>
      </w:r>
    </w:p>
    <w:p>
      <w:pPr>
        <w:widowControl w:val="on"/>
        <w:pBdr/>
        <w:spacing w:before="140" w:after="240" w:line="288" w:lineRule="auto"/>
        <w:ind w:left="0" w:right="0"/>
        <w:jc w:val="left"/>
      </w:pPr>
      <w:r>
        <w:rPr>
          <w:rFonts w:ascii="Arial" w:hAnsi="Arial" w:eastAsia="Arial" w:cs="Arial"/>
          <w:color w:val="000000"/>
          <w:sz w:val="20"/>
          <w:szCs w:val="20"/>
        </w:rPr>
        <w:t xml:space="preserve">Es würde den Intentionen des Gesetzes widersprechen, würde in
einer Arbeitsrechtssache, die vom Arbeitnehmer anhängig gemacht
worden ist und für die er den Gerichtsstand nach § 4
Abs 1 Z 1 lit a ASGG in Anspruch genommen hat, über
Antrag des Arbeitgebers die ausschließlich in dessen Interesse
gelegene Delegierung des für dessen Wohnsitz oder Aufenthalt
zuständigen Gerichts verfügt werden (RIS-Justiz RS0046357).</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Gem § 9 Abs 1 ASGG kann in Arbeits- und
Sozialrechtssachen durch Parteienvereinbarung die sachliche
Zuständigkeit nicht, die örtliche Zuständigkeit nur für einen
bestimmten einzelnen Rechtsstreit geändert werden. Schiedsklauseln
sind zudem gem § 9 Abs 2 ASGG unwirksam.</w:t>
      </w:r>
    </w:p>
    <w:p>
      <w:pPr>
        <w:widowControl w:val="on"/>
        <w:pBdr/>
        <w:spacing w:before="140" w:after="240" w:line="288" w:lineRule="auto"/>
        <w:ind w:left="0" w:right="0"/>
        <w:jc w:val="left"/>
      </w:pPr>
      <w:r>
        <w:rPr>
          <w:rFonts w:ascii="Arial" w:hAnsi="Arial" w:eastAsia="Arial" w:cs="Arial"/>
          <w:color w:val="000000"/>
          <w:sz w:val="20"/>
          <w:szCs w:val="20"/>
        </w:rPr>
        <w:t xml:space="preserve">Nach § 9 Abs 2 ASGG iVm § 40 TAG können
betriebsverfassungsrechtliche Streitigkeiten nach § 50
Abs 2 ASGG auch im Anwendungsbereich des TAG nicht einem
Schiedsgericht übergeben werden. Wird das Klagebegehren auf
§ 105 Abs 3 ArbVG gestützt und damit begründet, dass die
Beklagte eine Kündigung eines unbefristeten Dienstverhältnisses
ausgesprochen hätte, ist trotz Vorliegens einer Schiedsvereinbarung
für Streitigkeiten aus dem Dienstvertrag die Zuständigkeit des
Arbeits- und Sozialgerichtes gegeben (RIS-Justiz RS0133660).</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Friedrich Fleißig</w:t>
            </w:r>
            <w:r>
              <w:rPr>
                <w:rFonts w:ascii="Arial" w:hAnsi="Arial" w:eastAsia="Arial" w:cs="Arial"/>
                <w:color w:val="000000"/>
                <w:position w:val="0"/>
                <w:sz w:val="20"/>
                <w:szCs w:val="20"/>
                <w:shd w:val="clear" w:color="auto" w:fill="FFFFFF"/>
              </w:rPr>
              <w:br/>
              <w:t xml:space="preserve">Sommergasse 20</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Schinden und Schaffen AG</w:t>
            </w:r>
            <w:r>
              <w:rPr>
                <w:rFonts w:ascii="Arial" w:hAnsi="Arial" w:eastAsia="Arial" w:cs="Arial"/>
                <w:color w:val="000000"/>
                <w:position w:val="0"/>
                <w:sz w:val="20"/>
                <w:szCs w:val="20"/>
                <w:shd w:val="clear" w:color="auto" w:fill="FFFFFF"/>
              </w:rPr>
              <w:br/>
              <w:t xml:space="preserve">Plattensteinergasse 3</w:t>
            </w:r>
            <w:r>
              <w:rPr>
                <w:rFonts w:ascii="Arial" w:hAnsi="Arial" w:eastAsia="Arial" w:cs="Arial"/>
                <w:color w:val="000000"/>
                <w:position w:val="0"/>
                <w:sz w:val="20"/>
                <w:szCs w:val="20"/>
                <w:shd w:val="clear" w:color="auto" w:fill="FFFFFF"/>
              </w:rPr>
              <w:br/>
              <w:t xml:space="preserve">1220 Wien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Zu den allgemeinen Erfordernissen der Parteienbezeichnung siehe
„Schriftsatz – Grundmuster“.</w:t>
      </w:r>
    </w:p>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Zur Bedeutung der exakten Parteienbezeichnung im Detail siehe
Muster „Klage (Allgemein, Leistung, lang)“.</w:t>
      </w:r>
    </w:p>
    <w:p>
      <w:pPr>
        <w:widowControl w:val="on"/>
        <w:pBdr/>
        <w:spacing w:before="140" w:after="240" w:line="288" w:lineRule="auto"/>
        <w:ind w:left="0" w:right="0"/>
        <w:jc w:val="left"/>
      </w:pPr>
      <w:r>
        <w:rPr>
          <w:rFonts w:ascii="Arial" w:hAnsi="Arial" w:eastAsia="Arial" w:cs="Arial"/>
          <w:b/>
          <w:bCs/>
          <w:color w:val="000000"/>
          <w:sz w:val="20"/>
          <w:szCs w:val="20"/>
        </w:rPr>
        <w:t xml:space="preserve">11</w:t>
      </w:r>
      <w:r>
        <w:rPr>
          <w:rFonts w:ascii="Arial" w:hAnsi="Arial" w:eastAsia="Arial" w:cs="Arial"/>
          <w:color w:val="000000"/>
          <w:sz w:val="20"/>
          <w:szCs w:val="20"/>
        </w:rPr>
        <w:br/>
        <w:t xml:space="preserve">Die Aktivlegitimation zur Anfechtung einer Entlassung kommt primär
dem Betriebsrat zu, sofern ein Betriebsrat eingerichtet ist. Wäre
ein Betriebsrat zu errichten, besteht ein solcher jedoch nicht,
kann der Arbeitnehmer selbst innerhalb von 2 Wochen nach Zugang der
Entlassung diese selbst anfechten (siehe im Detail dazu Punkt
24).</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Karl Kämpfer</w:t>
            </w:r>
            <w:r>
              <w:rPr>
                <w:rFonts w:ascii="Arial" w:hAnsi="Arial" w:eastAsia="Arial" w:cs="Arial"/>
                <w:color w:val="000000"/>
                <w:position w:val="0"/>
                <w:sz w:val="20"/>
                <w:szCs w:val="20"/>
                <w:shd w:val="clear" w:color="auto" w:fill="FFFFFF"/>
              </w:rPr>
              <w:br/>
              <w:t xml:space="preserve">Kolingasse 15</w:t>
            </w:r>
            <w:r>
              <w:rPr>
                <w:rFonts w:ascii="Arial" w:hAnsi="Arial" w:eastAsia="Arial" w:cs="Arial"/>
                <w:color w:val="000000"/>
                <w:position w:val="0"/>
                <w:sz w:val="20"/>
                <w:szCs w:val="20"/>
                <w:shd w:val="clear" w:color="auto" w:fill="FFFFFF"/>
              </w:rPr>
              <w:br/>
              <w:t xml:space="preserve">1090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12</w:t>
      </w:r>
      <w:r>
        <w:rPr>
          <w:rFonts w:ascii="Arial" w:hAnsi="Arial" w:eastAsia="Arial" w:cs="Arial"/>
          <w:color w:val="000000"/>
          <w:sz w:val="20"/>
          <w:szCs w:val="20"/>
        </w:rPr>
        <w:br/>
        <w:t xml:space="preserve">Zur Angabe des Verfahrensvertreters siehe „Schriftsatz –
Grundmuster“.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Entlassungsanfechtung (JN EUR 5.000,–/GGG
EUR 750,–/RATG EUR 5.000,–)</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13</w:t>
      </w:r>
      <w:r>
        <w:rPr>
          <w:rFonts w:ascii="Arial" w:hAnsi="Arial" w:eastAsia="Arial" w:cs="Arial"/>
          <w:color w:val="000000"/>
          <w:sz w:val="20"/>
          <w:szCs w:val="20"/>
        </w:rPr>
        <w:br/>
        <w:t xml:space="preserve">Gem § 16 Abs 1 GGG ist die Bemessungsgrundlage nach GGG
EUR 750,–. Bei Unterlassung der Bewertung des
Streitgegenstandes gilt gem § 56 Abs 2 JN ein
Streitwert iHv EUR 5.000,–. Sofern keine besondere Bewertung
nach RATG erfolgt, ist der Streitwert gem § 4 RATG nach
§ 56 JN zu bewerten.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Klage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2-fach</w:t>
            </w:r>
            <w:r>
              <w:rPr>
                <w:rFonts w:ascii="Arial" w:hAnsi="Arial" w:eastAsia="Arial" w:cs="Arial"/>
                <w:color w:val="000000"/>
                <w:position w:val="0"/>
                <w:sz w:val="20"/>
                <w:szCs w:val="20"/>
                <w:shd w:val="clear" w:color="auto" w:fill="FFFFFF"/>
              </w:rPr>
              <w:br/>
              <w:t xml:space="preserve">6 Beilagen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14</w:t>
      </w:r>
      <w:r>
        <w:rPr>
          <w:rFonts w:ascii="Arial" w:hAnsi="Arial" w:eastAsia="Arial" w:cs="Arial"/>
          <w:color w:val="000000"/>
          <w:sz w:val="20"/>
          <w:szCs w:val="20"/>
        </w:rPr>
        <w:br/>
        <w:t xml:space="preserve">Die Klage sollte stets auf der ersten Seite so bezeichnet werden,
um die Verarbeitung zu vereinfachen.</w:t>
      </w:r>
    </w:p>
    <w:p>
      <w:pPr>
        <w:widowControl w:val="on"/>
        <w:pBdr/>
        <w:spacing w:before="140" w:after="240" w:line="288" w:lineRule="auto"/>
        <w:ind w:left="0" w:right="0"/>
        <w:jc w:val="left"/>
      </w:pPr>
      <w:r>
        <w:rPr>
          <w:rFonts w:ascii="Arial" w:hAnsi="Arial" w:eastAsia="Arial" w:cs="Arial"/>
          <w:b/>
          <w:bCs/>
          <w:color w:val="000000"/>
          <w:sz w:val="20"/>
          <w:szCs w:val="20"/>
        </w:rPr>
        <w:t xml:space="preserve">15</w:t>
      </w:r>
      <w:r>
        <w:rPr>
          <w:rFonts w:ascii="Arial" w:hAnsi="Arial" w:eastAsia="Arial" w:cs="Arial"/>
          <w:color w:val="000000"/>
          <w:sz w:val="20"/>
          <w:szCs w:val="20"/>
        </w:rPr>
        <w:br/>
        <w:t xml:space="preserve">Zur Angabe der Anzahl an Ausfertigungen im WebERV siehe
„Schriftsatz – Grundmuster“.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umseits näher bezeichneter Rechtssache hat der Kläger
Rechtsanwalt Mag. Karl Kämpfer mit seiner Vertretung beauftragt.
Durch seinen ausgewiesenen Vertreter erhebt der Kläger folgende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Klage</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16</w:t>
      </w:r>
      <w:r>
        <w:rPr>
          <w:rFonts w:ascii="Arial" w:hAnsi="Arial" w:eastAsia="Arial" w:cs="Arial"/>
          <w:color w:val="000000"/>
          <w:sz w:val="20"/>
          <w:szCs w:val="20"/>
        </w:rPr>
        <w:br/>
        <w:t xml:space="preserve">Der Klagevertreter sollte sich in der Klage stets zunächst auf die
erteilte Vollmacht berufen. Diese Berufung ersetzt
gem § 30 Abs 2 ZPO auch den urkundlichen Nachweis
der Vollmacht. In 1. Instanz können sich Parteien auch selbst
vertreten. Zudem sind im Verfahren nach ASGG die besonderen
Vertretungsregelungen des § 40 ASGG, insbesondere
„qualifizierte Personen“, zu beachten.</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ist für Rechtsstreitigkeiten, in denen kein
absoluter Anwaltszwang herrscht, die Kündigung oder der Widerruf
der Vollmacht gegenüber Gericht und Gegenpartei erst mit der
Mitteilung an sie wirksam. Wenngleich also im Innenverhältnis das
Vollmachtsverhältnis durch Kündigung oder Widerruf im Zeitpunkt der
Willenserklärung erlischt, ist der Eintritt der Wirkungen gegenüber
Gericht und Gegenpartei von deren Benachrichtigung abhängig. Das
Gericht hat, auch wenn ihm auf andere Weise Widerruf oder Kündigung
der Vollmacht zur Kenntnis gelangt sind, bis zum Einlangen des
Schriftsatzes den bisherigen Bevollmächtigten als voll befugten
Parteienvertreter zu behandeln (§ 36 Abs 1 ZPO; EvBl
1976/68; EvBl 1963/451; ZBl 1937/707). Im bezirksgerichtlichen
Verfahren könnte der Schriftsatz auch durch gerichtliches Protokoll
ersetzt werden, wenn die Partei nicht durch Rechtsanwälte vertreten
ist (§ 434 Abs 1 ZPO; EvBl 1964/228). Diese auch in
Arbeitsrechtssachen und Sozialrechtssachen geltende
Verfahrensbesonderheit ist allerdings ausgeschlossen, wenn die
Partei durch eine qualifizierte Person vertreten ist (§§ 39
Abs 2 Z 2, 40 Abs 1 ASGG) (RIS-Justiz
RS0109541).</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und die beklagte Partei standen seit 34 Jahren in
einem Dienstverhältnis. Das Dienstverhältnis wurde am 01.02.1980
eingegangen und auf unbestimmte Dauer abgeschlossen. Der Kläger
verrichtete Sekretariatsaufgaben für die beklagte Partei. Die
Arbeitszeit des Klägers war Montag bis Freitag von 08:00–16:00 Uhr.
Der gewöhnliche Arbeitsort war in der Plattensteinergasse 3 1220
Wien. Die benötigten Arbeitsmittel wurden von der beklagten Partei
zur Verfügung gestellt. Der Kläger bezog am Ende des
Dienstverhältnisses ein fixes Einkommen von EUR 3.200,– brutto
von der beklagten Partei.</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war leitender Sekretär der beklagten Partei und hatte
das Aufsehen über die gesamte Sekretariatsabteilung bestehend aus 5
Mitarbeitern und Mitarbeiterinnen.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hat jedoch jedenfalls Arbeitnehmereigenschaft, da ihm
keinerlei maßgeblicher Einfluss auf die Führung des Betriebes
zukommt.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17</w:t>
      </w:r>
      <w:r>
        <w:rPr>
          <w:rFonts w:ascii="Arial" w:hAnsi="Arial" w:eastAsia="Arial" w:cs="Arial"/>
          <w:color w:val="000000"/>
          <w:sz w:val="20"/>
          <w:szCs w:val="20"/>
        </w:rPr>
        <w:br/>
        <w:t xml:space="preserve">In der Entlassungsanfechtung ist vorzubringen, dass ein Arbeits-
bzw Dienstverhältnis zwischen der beklagten Partei und dem Kläger
besteht. Nachdem im gegenständlichen Fall das verpönte Motiv einer
Sozialwidrigkeit geltend gemacht wird, ist vorzubringen, dass das
Dienstverhältnis zum Zeitpunkt der ungerechtfertigten Entlassung
zumindest 6 Monate bestanden hat (vgl § 105 Abs 3
Z 2 ArbVG).</w:t>
      </w:r>
    </w:p>
    <w:p>
      <w:pPr>
        <w:widowControl w:val="on"/>
        <w:pBdr/>
        <w:spacing w:before="140" w:after="240" w:line="288" w:lineRule="auto"/>
        <w:ind w:left="0" w:right="0"/>
        <w:jc w:val="left"/>
      </w:pPr>
      <w:r>
        <w:rPr>
          <w:rFonts w:ascii="Arial" w:hAnsi="Arial" w:eastAsia="Arial" w:cs="Arial"/>
          <w:color w:val="000000"/>
          <w:sz w:val="20"/>
          <w:szCs w:val="20"/>
        </w:rPr>
        <w:t xml:space="preserve">Bei der Beurteilung des Anfechtungsgrundes des § 105
Abs 3 Z 2 ArbVG ist auf den Zeitpunkt der durch die
angefochtene Kündigung herbeigeführten Beendigung des
Arbeitsverhältnisses (Konkretisierungszeitpunkt) abzustellen
(RIS-Justiz RS0051772).</w:t>
      </w:r>
    </w:p>
    <w:p>
      <w:pPr>
        <w:widowControl w:val="on"/>
        <w:pBdr/>
        <w:spacing w:before="140" w:after="240" w:line="288" w:lineRule="auto"/>
        <w:ind w:left="0" w:right="0"/>
        <w:jc w:val="left"/>
      </w:pPr>
      <w:r>
        <w:rPr>
          <w:rFonts w:ascii="Arial" w:hAnsi="Arial" w:eastAsia="Arial" w:cs="Arial"/>
          <w:color w:val="000000"/>
          <w:sz w:val="20"/>
          <w:szCs w:val="20"/>
        </w:rPr>
        <w:t xml:space="preserve">Bei der Beurteilung des Anfechtungsgrundes des § 105
Abs 3 Z 2 ArbVG ist unter Anlegung eines objektiven
Maßstabes primär zu prüfen, ob wesentliche Interessen des
gekündigten – seit wenigstens sechs Monate beschäftigten –
Arbeitnehmers beeinträchtigt sind. Für diese Umstände ist der
anfechtende Kläger behauptungspflichtig und beweispflichtig
(RIS-Justiz RS0051746).</w:t>
      </w:r>
    </w:p>
    <w:p>
      <w:pPr>
        <w:widowControl w:val="on"/>
        <w:pBdr/>
        <w:spacing w:before="140" w:after="240" w:line="288" w:lineRule="auto"/>
        <w:ind w:left="0" w:right="0"/>
        <w:jc w:val="left"/>
      </w:pPr>
      <w:r>
        <w:rPr>
          <w:rFonts w:ascii="Arial" w:hAnsi="Arial" w:eastAsia="Arial" w:cs="Arial"/>
          <w:color w:val="000000"/>
          <w:sz w:val="20"/>
          <w:szCs w:val="20"/>
        </w:rPr>
        <w:t xml:space="preserve">Sowohl bei der Beurteilung der Beeinträchtigung der Interessen
des Arbeitnehmers als auch der Betriebsbedingtheit der Kündigung
muss die künftige Entwicklung der Verhältnisse nach der Kündigung
und der Beendigung des Arbeitsverhältnisses herangezogen werden.
Diese sind in die Beurteilungsgrundlage einzubeziehen, wenn sie mit
der angefochtenen Kündigung noch in einem sachlichen und zeitlichen
Zusammenhang stehen. Eine erst nach Anfechtung der Kündigung, aber
noch vor der Beendigung des Arbeitsverhältnisses, erfolgte
Postenausschreibung durch den Arbeitgeber ist daher bei der
Entscheidung jedenfalls zu berücksichtigen (RIS-Justiz
RS0051785).</w:t>
      </w:r>
    </w:p>
    <w:p>
      <w:pPr>
        <w:widowControl w:val="on"/>
        <w:pBdr/>
        <w:spacing w:before="140" w:after="240" w:line="288" w:lineRule="auto"/>
        <w:ind w:left="0" w:right="0"/>
        <w:jc w:val="left"/>
      </w:pPr>
      <w:r>
        <w:rPr>
          <w:rFonts w:ascii="Arial" w:hAnsi="Arial" w:eastAsia="Arial" w:cs="Arial"/>
          <w:b/>
          <w:bCs/>
          <w:color w:val="000000"/>
          <w:sz w:val="20"/>
          <w:szCs w:val="20"/>
        </w:rPr>
        <w:t xml:space="preserve">18</w:t>
      </w:r>
      <w:r>
        <w:rPr>
          <w:rFonts w:ascii="Arial" w:hAnsi="Arial" w:eastAsia="Arial" w:cs="Arial"/>
          <w:color w:val="000000"/>
          <w:sz w:val="20"/>
          <w:szCs w:val="20"/>
        </w:rPr>
        <w:br/>
        <w:t xml:space="preserve">Weiters ist vorzubringen, dass dem Kläger Arbeitnehmereigenschaft
zukommt. Hier ist einerseits entscheidend, die wesentlichen
Merkmale eines Arbeit- bzw Dienstnehmers anzuführen. Diese sind die
persönliche Abhängigkeit (Einordnung in den Betrieb,
Weisungsgebundenheit, disziplinäre Verantwortung usw), weiters die
wirtschaftliche Abhängigkeit, sowie Anspruch auf Entgelt.</w:t>
      </w:r>
    </w:p>
    <w:p>
      <w:pPr>
        <w:widowControl w:val="on"/>
        <w:pBdr/>
        <w:spacing w:before="140" w:after="240" w:line="288" w:lineRule="auto"/>
        <w:ind w:left="0" w:right="0"/>
        <w:jc w:val="left"/>
      </w:pPr>
      <w:r>
        <w:rPr>
          <w:rFonts w:ascii="Arial" w:hAnsi="Arial" w:eastAsia="Arial" w:cs="Arial"/>
          <w:color w:val="000000"/>
          <w:sz w:val="20"/>
          <w:szCs w:val="20"/>
        </w:rPr>
        <w:t xml:space="preserve">Es ist außerdem aufzuzeigen, dass der Kläger nicht unter eine
der Ziffern des § 36 Abs 2 ArbVG zu subsumieren ist, da
ihm ansonsten keine Arbeitnehmereigenschaft mehr zukommen
würde.</w:t>
      </w:r>
    </w:p>
    <w:p>
      <w:pPr>
        <w:widowControl w:val="on"/>
        <w:pBdr/>
        <w:spacing w:before="140" w:after="240" w:line="288" w:lineRule="auto"/>
        <w:ind w:left="0" w:right="0"/>
        <w:jc w:val="left"/>
      </w:pPr>
      <w:r>
        <w:rPr>
          <w:rFonts w:ascii="Arial" w:hAnsi="Arial" w:eastAsia="Arial" w:cs="Arial"/>
          <w:color w:val="000000"/>
          <w:sz w:val="20"/>
          <w:szCs w:val="20"/>
        </w:rPr>
        <w:t xml:space="preserve">Keine Arbeitnehmer gem § 36 Abs 2 ArbVG sind:</w:t>
      </w:r>
    </w:p>
    <w:p>
      <w:pPr>
        <w:numPr>
          <w:ilvl w:val="0"/>
          <w:numId w:val="7191766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Betrieben einer juristischen Person, die Mitglieder des
Organs, das zur gesetzlichen Vertretung der juristischen Person
berufen ist</w:t>
      </w:r>
    </w:p>
    <w:p>
      <w:pPr>
        <w:numPr>
          <w:ilvl w:val="0"/>
          <w:numId w:val="7191766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leitende Angestellte, denen maßgebender Einfluss auf die
Führung des Betriebes zusteht</w:t>
      </w:r>
    </w:p>
    <w:p>
      <w:pPr>
        <w:numPr>
          <w:ilvl w:val="0"/>
          <w:numId w:val="7191766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Personen, die vorwiegend zu ihrer Erziehung, Behandlung,
Heilung oder Wiedereingliederung beschäftigt werden, sofern sie
nicht aufgrund eines Arbeitsvertrages beschäftigt sind</w:t>
      </w:r>
    </w:p>
    <w:p>
      <w:pPr>
        <w:numPr>
          <w:ilvl w:val="0"/>
          <w:numId w:val="7191766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Personen, die im Vollzug einer verwaltungsbehördlichen oder
gerichtlichen Verwahrungshaft, Untersuchungshaft, Freiheitsstrafe
oder freiheitsentziehenden vorbeugenden Maßnahme beschäftigt
werden</w:t>
      </w:r>
    </w:p>
    <w:p>
      <w:pPr>
        <w:numPr>
          <w:ilvl w:val="0"/>
          <w:numId w:val="7191766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Personen, deren Beschäftigung vorwiegend durch religiöse,
karitative oder soziale Motive bestimmt ist, sofern sie nicht
aufgrund eines Arbeitsvertrages beschäftigt sind</w:t>
      </w:r>
    </w:p>
    <w:p>
      <w:pPr>
        <w:numPr>
          <w:ilvl w:val="0"/>
          <w:numId w:val="7191766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Personen, die zu Schulungs- und Ausbildungszwecken kurzfristig
beschäftigt werden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einer GmbH ist zu einer Klage nach den
§§ 105, 106 ArbVG nicht legitimiert; hinsichtlich des
Arbeitnehmerbegriffes des II. Teils des ArbVG, der die gesetzliche
Betriebsverfassung behandelt, ist nämlich nicht vom allgemeinen
Arbeitnehmerbegriff auszugehen, wie er von Lehre und Rechtsprechung
aufgrund des § 1151 ABGB entwickelt wurde, sondern von dem
davon abweichenden Begriff des § 36 ArbVG (RIS-Justiz
RS0050959).</w:t>
      </w:r>
    </w:p>
    <w:p>
      <w:pPr>
        <w:widowControl w:val="on"/>
        <w:pBdr/>
        <w:spacing w:before="140" w:after="240" w:line="288" w:lineRule="auto"/>
        <w:ind w:left="0" w:right="0"/>
        <w:jc w:val="left"/>
      </w:pPr>
      <w:r>
        <w:rPr>
          <w:rFonts w:ascii="Arial" w:hAnsi="Arial" w:eastAsia="Arial" w:cs="Arial"/>
          <w:color w:val="000000"/>
          <w:sz w:val="20"/>
          <w:szCs w:val="20"/>
        </w:rPr>
        <w:t xml:space="preserve">Maßgeblich ist vor allem die Entscheidungsbefugnis im
personellen Bereich, weil sie den Interessengegensatz zu den
übrigen Belegschaftsmitgliedern bewirkt, der der Ausnahmebestimmung
des § 36 Abs 2 Z 3 ArbVG zugrunde liegt (RIS-Justiz
RS0053034).</w:t>
      </w:r>
    </w:p>
    <w:p>
      <w:pPr>
        <w:widowControl w:val="on"/>
        <w:pBdr/>
        <w:spacing w:before="140" w:after="240" w:line="288" w:lineRule="auto"/>
        <w:ind w:left="0" w:right="0"/>
        <w:jc w:val="left"/>
      </w:pPr>
      <w:r>
        <w:rPr>
          <w:rFonts w:ascii="Arial" w:hAnsi="Arial" w:eastAsia="Arial" w:cs="Arial"/>
          <w:color w:val="000000"/>
          <w:sz w:val="20"/>
          <w:szCs w:val="20"/>
        </w:rPr>
        <w:t xml:space="preserve">Bei den Arbeitgeberfunktionen, die die Unterstellung unter den
Begriff des leitenden Angestellten rechtfertigen können, steht der
Einfluss auf die Eingehung und Auflösung von Arbeitsverhältnissen
im Vordergrund. Maßgeblich ist aber auch die Ingerenz in
Gehaltsfragen, bei Vorrückungen, bei der Urlaubseinteilung, bei der
Anordnung von Überstunden, bei der Ausübung des Direktionsrechtes
und bei der Aufrechterhaltung der Disziplin im Betrieb. Völlige
Weisungsfreiheit ist hingegen nicht erforderlich und kann mit
Rücksicht auf die aus der Sicht des Arbeitsvertragsrechtes gegebene
Arbeitnehmereigenschaft auch des leitenden Angestellten nicht
verlangt werden (RIS-Justiz RS0050979).</w:t>
      </w:r>
    </w:p>
    <w:p>
      <w:pPr>
        <w:widowControl w:val="on"/>
        <w:pBdr/>
        <w:spacing w:before="140" w:after="240" w:line="288" w:lineRule="auto"/>
        <w:ind w:left="0" w:right="0"/>
        <w:jc w:val="left"/>
      </w:pPr>
      <w:r>
        <w:rPr>
          <w:rFonts w:ascii="Arial" w:hAnsi="Arial" w:eastAsia="Arial" w:cs="Arial"/>
          <w:color w:val="000000"/>
          <w:sz w:val="20"/>
          <w:szCs w:val="20"/>
        </w:rPr>
        <w:t xml:space="preserve">Als leitender Angestellter im Sinne dieser Gesetzesbestimmung
ist vor allem ein Arbeitnehmer anzusehen, der durch seine Position
an der Seite des Arbeitgebers und durch Ausübung von
Arbeitgeberfunktionen in einen Interessengegensatz zu anderen
Arbeitnehmern geraten kann. Auch wenn der Einfluss des Angestellten
auf eine Betriebsabteilung eingeschränkt ist, kann er in die
Interessensphären anderer Arbeitnehmer eingreifen und in einen
Interessengegensatz zu diesen geraten (RIS-Justiz RS0051002).</w:t>
      </w:r>
    </w:p>
    <w:p>
      <w:pPr>
        <w:widowControl w:val="on"/>
        <w:pBdr/>
        <w:spacing w:before="140" w:after="240" w:line="288" w:lineRule="auto"/>
        <w:ind w:left="0" w:right="0"/>
        <w:jc w:val="left"/>
      </w:pPr>
      <w:r>
        <w:rPr>
          <w:rFonts w:ascii="Arial" w:hAnsi="Arial" w:eastAsia="Arial" w:cs="Arial"/>
          <w:color w:val="000000"/>
          <w:sz w:val="20"/>
          <w:szCs w:val="20"/>
        </w:rPr>
        <w:t xml:space="preserve">Hat ein Abteilungsleiter Dispositionsbefugnisse bezüglich der
Arbeitsverhältnisse der ihm unterstellten Mitarbeiter - Begründung
und Auflösung von Dienstverhältnissen, Vereinbarung des Gehalts im
Rahmen eines vorgegebenen Budgets, Entscheidung darüber, in welchen
Bereichen die Arbeitnehmer eingesetzt werden - dann ist er
leitender Angestellter im Sinne dieser Gesetzesbestimmung
(RIS-Justiz RS0051011).</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beklagte Partei betreibt ein Bauunternehmen, das auf den Bau
von Wasserkraftwerken spezialisiert ist. Der Kläger arbeitete in
der Verwaltungszentrale der beklagten Partei. Die beklagte Partei
ist ein Unternehmen, das aktuell 98 Arbeitnehmer beschäftigt. Somit
ist gem § 40 ArbVG ein Betriebsrat einzurichten. Der
Betriebsrat der Schinden und Schaffen AG besteht aus 4 gewählten
Mitgliedern und wurde am 01.02.1983 eingerichtet.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Betriebsvereinbarung vom 20.04.1983 Beilage ./C</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Anfechtende muss beweisen, dass die Kündigung wesentliche
Interessen des Gekündigten beeinträchtigt. Im Rahmen der Prüfung
dieses Tatbestandsmerkmales ist auch das Einkommen des Ehegatten zu
berücksichtigen und die Sozialwidrigkeit der Kündigung zu
verneinen, wenn in Anbetracht des hohen Einkommens des Ehegatten
durch den Wegfall des erheblich niedrigeren Einkommens des
Gekündigten eine fühlbar ins Gewicht fallende Verschlechterung der
wirtschaftlichen Lage des Gekündigten nicht zu besorgen ist
(RIS-Justiz RS0051845).</w:t>
      </w:r>
    </w:p>
    <w:p>
      <w:pPr>
        <w:widowControl w:val="on"/>
        <w:pBdr/>
        <w:spacing w:before="140" w:after="240" w:line="288" w:lineRule="auto"/>
        <w:ind w:left="0" w:right="0"/>
        <w:jc w:val="left"/>
      </w:pPr>
      <w:r>
        <w:rPr>
          <w:rFonts w:ascii="Arial" w:hAnsi="Arial" w:eastAsia="Arial" w:cs="Arial"/>
          <w:b/>
          <w:bCs/>
          <w:color w:val="000000"/>
          <w:sz w:val="20"/>
          <w:szCs w:val="20"/>
        </w:rPr>
        <w:t xml:space="preserve">19</w:t>
      </w:r>
      <w:r>
        <w:rPr>
          <w:rFonts w:ascii="Arial" w:hAnsi="Arial" w:eastAsia="Arial" w:cs="Arial"/>
          <w:color w:val="000000"/>
          <w:sz w:val="20"/>
          <w:szCs w:val="20"/>
        </w:rPr>
        <w:br/>
        <w:t xml:space="preserve">Wesentlich ist, dass es sich beim Arbeitgeber um einen Betrieb
gem § 34 Abs1 ArbVG handelt, sowie dass ein Betriebsrat
errichtet ist bzw zu errichten wäre, da nur in einem Betrieb, in
dem ein Betriebsrat besteht oder zumindest zu errichten wäre, der
allgemeine Kündigungs- bzw Entlassungsschutz gem ArbVG
besteht. Wie bereits eingangs angeführt, steht einem zu Unrecht
entlassenen Arbeitnehmer nur die Möglichkeit zur Erhebung von
Schadenersatzansprüchen offen.</w:t>
      </w:r>
    </w:p>
    <w:p>
      <w:pPr>
        <w:widowControl w:val="on"/>
        <w:pBdr/>
        <w:spacing w:before="140" w:after="240" w:line="288" w:lineRule="auto"/>
        <w:ind w:left="0" w:right="0"/>
        <w:jc w:val="left"/>
      </w:pPr>
      <w:r>
        <w:rPr>
          <w:rFonts w:ascii="Arial" w:hAnsi="Arial" w:eastAsia="Arial" w:cs="Arial"/>
          <w:color w:val="000000"/>
          <w:sz w:val="20"/>
          <w:szCs w:val="20"/>
        </w:rPr>
        <w:t xml:space="preserve">Gem § 40 ArbVG ist in jedem Betrieb ein Betriebsrat zu
errichten, in dem dauernd mindestens fünf stimmberechtigte
Arbeitnehmer beschäftigt werden. Wie oben schon erwähnt, kommt die
Befugnis, eine Entlassung anzufechten, primär dem Betriebsrat zu.
Sollte in einem an sich betriebsratspflichtigen Betrieb jedoch kein
Betriebsrat bestehen, ist der Arbeitnehmer selbst berechtigt,
innerhalb einer Frist von zwei Wochen nach Zugang der Entlassung,
diese vor Gericht anzufechten.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beklagte Partei sprach am 17.11.2014 vertreten durch die
Geschäftsführerin Beate Biestig vor der gesamten
Sekretariatsabteilung die Entlassung des Klägers aus. Die
Entlassung wurde dem Kläger gegenüber mündlich verkündet, sowie
mittels RSb-Brief zugestellt. Als wichtiger Grund wurde von der
beklagten Partei Untreue angegeben. Der Kläger soll vorsätzlich und
bewusst einen Auftrag zum Bau eines Wasserkraftwerkes in der
Steiermark verschwiegen haben, wodurch der potentielle Auftraggeber
den Auftrag dem Konkurrenzunternehmen Wasserbau AG erteilt
habe.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Schriftliche Entlassung vom 17.11.2014 Beilage ./D</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20</w:t>
      </w:r>
      <w:r>
        <w:rPr>
          <w:rFonts w:ascii="Arial" w:hAnsi="Arial" w:eastAsia="Arial" w:cs="Arial"/>
          <w:color w:val="000000"/>
          <w:sz w:val="20"/>
          <w:szCs w:val="20"/>
        </w:rPr>
        <w:br/>
        <w:t xml:space="preserve">Die Entlassungsanfechtung setzt eine nach zivilrechtlichen
Grundsätzen rechtsgültige Entlassung voraus. Es ist daher zu
bescheinigen, dass die Entlassung von einer dazu berechtigten
Person ausgesprochen wurde sowie, dass die Entlassung dem Kläger
ordnungsgemäß zugegangen ist. Nach zivilrechtlichen Grundsätzen
braucht es außerdem einen wichtigen Grund, um ein
Dauerschuldverhältnis fristlos einseitig aufzulösen.</w:t>
      </w:r>
    </w:p>
    <w:p>
      <w:pPr>
        <w:widowControl w:val="on"/>
        <w:pBdr/>
        <w:spacing w:before="140" w:after="240" w:line="288" w:lineRule="auto"/>
        <w:ind w:left="0" w:right="0"/>
        <w:jc w:val="left"/>
      </w:pPr>
      <w:r>
        <w:rPr>
          <w:rFonts w:ascii="Arial" w:hAnsi="Arial" w:eastAsia="Arial" w:cs="Arial"/>
          <w:color w:val="000000"/>
          <w:sz w:val="20"/>
          <w:szCs w:val="20"/>
        </w:rPr>
        <w:t xml:space="preserve">Der Arbeitgeber hat allerdings den Grund der Entlassung nicht
sofort zu benennen. Es ist ausreichend, den Entlassungsgrund
spätestens bis zum Schluss der mündlichen Verhandlung bekannt zu
geben. Es können auch weitere, vor der Entlassung vorgelegene,
Entlassungsgründe, welche dem Arbeitgeber erst nach ausgesprochener
Entlassung bekannt werden, im Verfahren nachgereicht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21</w:t>
      </w:r>
      <w:r>
        <w:rPr>
          <w:rFonts w:ascii="Arial" w:hAnsi="Arial" w:eastAsia="Arial" w:cs="Arial"/>
          <w:b/>
          <w:bCs/>
          <w:color w:val="000000"/>
          <w:sz w:val="20"/>
          <w:szCs w:val="20"/>
        </w:rPr>
        <w:br/>
        <w:t xml:space="preserve">Beachte:</w:t>
      </w:r>
      <w:r>
        <w:rPr>
          <w:rFonts w:ascii="Arial" w:hAnsi="Arial" w:eastAsia="Arial" w:cs="Arial"/>
          <w:color w:val="000000"/>
          <w:sz w:val="20"/>
          <w:szCs w:val="20"/>
        </w:rPr>
        <w:t xml:space="preserve"> Die Entlassung ist an keine Form
gebunden. Das heißt, die Fristen zur Entlassungsanfechtung beginnen
in unserem Fall mit Ausspruch der Kündigung am 17.11.2014 zu
laufen.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Betriebsrat wurde eine Woche nach erfolgter Entlassung von
der beklagten Partei über die Entlassung des Klägers informiert.
Der Betriebsrat gab keinerlei Stellungnahme ab. Der Kläger forderte
den Betriebsrat am 26.11.2014 auf, die erfolgte Entlassung
anzufechten. Der Betriebsrat blieb untätig, dadurch ging das Recht
zur Anfechtung der Entlassung auf den Kläger über. Der Kläger ist
somit aktivlegitimiert, die Entlassung anzufechten.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Schriftliche Aufforderung zur Anfechtung der Entlassung vom
26.11.2014 Beilage ./E</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22</w:t>
      </w:r>
      <w:r>
        <w:rPr>
          <w:rFonts w:ascii="Arial" w:hAnsi="Arial" w:eastAsia="Arial" w:cs="Arial"/>
          <w:color w:val="000000"/>
          <w:sz w:val="20"/>
          <w:szCs w:val="20"/>
        </w:rPr>
        <w:br/>
        <w:t xml:space="preserve">In der Entlassungsanfechtung ist anzuführen, dass der Betriebsrat
der Entlassung allenfalls rechtzeitig widersprochen hat und der
Dienstnehmer den Betriebsrat zur Anfechtung aufgefordert hat.
Sollte das Recht zur Anfechtung auf den Arbeit- bzw Dienstnehmer
übergegangen sein, ist darzustellen, weshalb die Aktivlegitimation
auf den Arbeit- bzw Dienstnehmer übergegangen ist.</w:t>
      </w:r>
    </w:p>
    <w:p>
      <w:pPr>
        <w:widowControl w:val="on"/>
        <w:pBdr/>
        <w:spacing w:before="140" w:after="240" w:line="288" w:lineRule="auto"/>
        <w:ind w:left="0" w:right="0"/>
        <w:jc w:val="left"/>
      </w:pPr>
      <w:r>
        <w:rPr>
          <w:rFonts w:ascii="Arial" w:hAnsi="Arial" w:eastAsia="Arial" w:cs="Arial"/>
          <w:b/>
          <w:bCs/>
          <w:color w:val="000000"/>
          <w:sz w:val="20"/>
          <w:szCs w:val="20"/>
        </w:rPr>
        <w:t xml:space="preserve">23</w:t>
      </w:r>
      <w:r>
        <w:rPr>
          <w:rFonts w:ascii="Arial" w:hAnsi="Arial" w:eastAsia="Arial" w:cs="Arial"/>
          <w:b/>
          <w:bCs/>
          <w:color w:val="000000"/>
          <w:sz w:val="20"/>
          <w:szCs w:val="20"/>
        </w:rPr>
        <w:br/>
        <w:t xml:space="preserve">Beachte</w:t>
      </w:r>
      <w:r>
        <w:rPr>
          <w:rFonts w:ascii="Arial" w:hAnsi="Arial" w:eastAsia="Arial" w:cs="Arial"/>
          <w:color w:val="000000"/>
          <w:sz w:val="20"/>
          <w:szCs w:val="20"/>
        </w:rPr>
        <w:t xml:space="preserve">: Die Aufforderung des Arbeit- bzw
Dienstnehmers zur Anfechtung der Entlassung durch den Betriebsrat
ist an keinerlei Form gebunden.</w:t>
      </w:r>
    </w:p>
    <w:p>
      <w:pPr>
        <w:widowControl w:val="on"/>
        <w:pBdr/>
        <w:spacing w:before="140" w:after="240" w:line="288" w:lineRule="auto"/>
        <w:ind w:left="0" w:right="0"/>
        <w:jc w:val="left"/>
      </w:pPr>
      <w:r>
        <w:rPr>
          <w:rFonts w:ascii="Arial" w:hAnsi="Arial" w:eastAsia="Arial" w:cs="Arial"/>
          <w:b/>
          <w:bCs/>
          <w:color w:val="000000"/>
          <w:sz w:val="20"/>
          <w:szCs w:val="20"/>
        </w:rPr>
        <w:t xml:space="preserve">24</w:t>
      </w:r>
      <w:r>
        <w:rPr>
          <w:rFonts w:ascii="Arial" w:hAnsi="Arial" w:eastAsia="Arial" w:cs="Arial"/>
          <w:color w:val="000000"/>
          <w:sz w:val="20"/>
          <w:szCs w:val="20"/>
        </w:rPr>
        <w:br/>
        <w:t xml:space="preserve">Gem § 106 ArbVG hat der Betriebsinhaber den Betriebsrat von
jeder Entlassung unverzüglich zu verständigen und innerhalb von
drei Arbeitstagen nach erfolgter Verständigung auf Verlangen des
Betriebsrates mit diesem die Entlassung zu beraten.</w:t>
      </w:r>
    </w:p>
    <w:p>
      <w:pPr>
        <w:widowControl w:val="on"/>
        <w:pBdr/>
        <w:spacing w:before="140" w:after="240" w:line="288" w:lineRule="auto"/>
        <w:ind w:left="0" w:right="0"/>
        <w:jc w:val="left"/>
      </w:pPr>
      <w:r>
        <w:rPr>
          <w:rFonts w:ascii="Arial" w:hAnsi="Arial" w:eastAsia="Arial" w:cs="Arial"/>
          <w:b/>
          <w:bCs/>
          <w:color w:val="000000"/>
          <w:sz w:val="20"/>
          <w:szCs w:val="20"/>
        </w:rPr>
        <w:t xml:space="preserve">25</w:t>
      </w:r>
      <w:r>
        <w:rPr>
          <w:rFonts w:ascii="Arial" w:hAnsi="Arial" w:eastAsia="Arial" w:cs="Arial"/>
          <w:color w:val="000000"/>
          <w:sz w:val="20"/>
          <w:szCs w:val="20"/>
        </w:rPr>
        <w:br/>
        <w:t xml:space="preserve">Stimmt der Betriebsrat der Entlassung zu, ist der entlassene
Arbeit- bzw Dienstnehmer berechtigt, die Entlassung vor Gericht
anzufechten, jedoch kann die Entlassung nicht aufgrund des
§ 105 Abs 3 Z 2 ArbVG wie hier, wegen
Sozialwidrigkeit, angefochten werden.</w:t>
      </w:r>
    </w:p>
    <w:p>
      <w:pPr>
        <w:widowControl w:val="on"/>
        <w:pBdr/>
        <w:spacing w:before="140" w:after="240" w:line="288" w:lineRule="auto"/>
        <w:ind w:left="0" w:right="0"/>
        <w:jc w:val="left"/>
      </w:pPr>
      <w:r>
        <w:rPr>
          <w:rFonts w:ascii="Arial" w:hAnsi="Arial" w:eastAsia="Arial" w:cs="Arial"/>
          <w:color w:val="000000"/>
          <w:sz w:val="20"/>
          <w:szCs w:val="20"/>
        </w:rPr>
        <w:t xml:space="preserve">Eine Beeinträchtigung wesentlicher Interessen des Arbeitnehmers
ist bereits gegeben, wenn durch die Kündigung eine bloß finanzielle
Schlechterstellung verursacht wird; es muss die Kündigung nicht
mehr die Existenzgrundlage durch dauernde Arbeitslosigkeit
gefährden. Schon der Verlust eines wesentlichen Vorteils aus dem
Arbeitsverhältnis rechtfertigt auf Seiten des Arbeitnehmers den
Schutz nach § 105 Abs 3 Z 2 ArbVG und zwar auch
dann, wenn der Lebensunterhalt des Gekündigten anderwärts
ausreichend gesichert ist (RIS-Justiz RS0051727).</w:t>
      </w:r>
    </w:p>
    <w:p>
      <w:pPr>
        <w:widowControl w:val="on"/>
        <w:pBdr/>
        <w:spacing w:before="140" w:after="240" w:line="288" w:lineRule="auto"/>
        <w:ind w:left="0" w:right="0"/>
        <w:jc w:val="left"/>
      </w:pPr>
      <w:r>
        <w:rPr>
          <w:rFonts w:ascii="Arial" w:hAnsi="Arial" w:eastAsia="Arial" w:cs="Arial"/>
          <w:b/>
          <w:bCs/>
          <w:color w:val="000000"/>
          <w:sz w:val="20"/>
          <w:szCs w:val="20"/>
        </w:rPr>
        <w:t xml:space="preserve">26</w:t>
      </w:r>
      <w:r>
        <w:rPr>
          <w:rFonts w:ascii="Arial" w:hAnsi="Arial" w:eastAsia="Arial" w:cs="Arial"/>
          <w:color w:val="000000"/>
          <w:sz w:val="20"/>
          <w:szCs w:val="20"/>
        </w:rPr>
        <w:br/>
        <w:t xml:space="preserve">Widerspricht der Betriebsrat der Entlassung ausdrücklich, kann er
auf Verlangen des entlassenen Arbeit- bzw Dienstnehmers die
Entlassung innerhalb einer Woche vor Gericht anfechten. Unterlässt
der Betriebsrat trotz Aufforderung des entlassenen Arbeit- bzw
Dienstnehmers die Entlassungsanfechtung, so ist der entlassene
Arbeit- bzw Dienstnehmer berechtigt, innerhalb von zwei Wochen nach
Ablauf der einwöchigen Anfechtungsfrist des Betriebsrates, die
Entlassung anzufechten.</w:t>
      </w:r>
    </w:p>
    <w:p>
      <w:pPr>
        <w:widowControl w:val="on"/>
        <w:pBdr/>
        <w:spacing w:before="140" w:after="240" w:line="288" w:lineRule="auto"/>
        <w:ind w:left="0" w:right="0"/>
        <w:jc w:val="left"/>
      </w:pPr>
      <w:r>
        <w:rPr>
          <w:rFonts w:ascii="Arial" w:hAnsi="Arial" w:eastAsia="Arial" w:cs="Arial"/>
          <w:b/>
          <w:bCs/>
          <w:color w:val="000000"/>
          <w:sz w:val="20"/>
          <w:szCs w:val="20"/>
        </w:rPr>
        <w:t xml:space="preserve">27</w:t>
      </w:r>
      <w:r>
        <w:rPr>
          <w:rFonts w:ascii="Arial" w:hAnsi="Arial" w:eastAsia="Arial" w:cs="Arial"/>
          <w:color w:val="000000"/>
          <w:sz w:val="20"/>
          <w:szCs w:val="20"/>
        </w:rPr>
        <w:br/>
        <w:t xml:space="preserve">Gibt der Betriebsrat keine Stellungnahme innerhalb der einwöchigen
Frist des § 105 Abs 1 ArbVG ab, geht das Recht, die
Entlassung anzufechten, auf den entlassenen Arbeit- bzw
Dienstnehmer über.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ist 54 Jahre alt und ist seit 34 Jahren bei der
beklagten Partei angestellt. Der Kläger erfüllte seine Aufgaben
immer gewissenhaft und stieg sehr schnell in der Hierarchie des
Unternehmens auf. Er hat nun die Leitung der Sekretariatsabteilung
inne und genießt hohes Ansehen in seiner Abteilung. Dem Kläger
wurde am 20.03.2009 ein vorläufiges Dienstzeugnis ausgestellt, in
dem seine Arbeit als höchst zufriedenstellend bezeichnet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hat 4 Kinder im Alter von 7, 10, 14 und 16 Jahren.
Die Frau des Klägers ist 2010 verstorben. Der Kläger bezieht nur
Einkünfte aus seiner Tätigkeit bei der beklagten Partei. Der Kläger
hat keinerlei sonstiges nennenswertes Vermögen. Die Entlassung wäre
daher in höchstem Maße sozial ungerechtfertigt.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von der beklagten Partei behauptete Entlassungsgrund ist
nicht gegeben. Der Kläger leugnet nicht, einen Fehler gemacht zu
haben, jedoch wurde der Auftrag dem Arbeitgeber keineswegs bewusst
und vorsätzlich verschwiegen. Es handelte sich vielmehr um eine
Unachtsamkeit des Klägers. Der Auftrag kam per Post und wurde dem
Kläger mit mehreren anderen Unterlagen, unter anderem sehr viel
Werbung, auf den Schreibtisch gelegt. Der Kläger hat in einer
Unachtsamkeit den Auftrag mit anderen unwichtigen Schreiben und der
Werbung geschreddert. Man kann dem Kläger hier keinesfalls
Schädigungsabsicht vorwerfen. Es handelt sich hierbei um den ersten
Fehler des Klägers in seiner 34-jährigen Beschäftigungszeit bei der
beklagten Partei.</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Dienstzeugnis vom 20.03.2009 Beilage ./F</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28</w:t>
      </w:r>
      <w:r>
        <w:rPr>
          <w:rFonts w:ascii="Arial" w:hAnsi="Arial" w:eastAsia="Arial" w:cs="Arial"/>
          <w:color w:val="000000"/>
          <w:sz w:val="20"/>
          <w:szCs w:val="20"/>
        </w:rPr>
        <w:br/>
        <w:t xml:space="preserve">Eine Entlassung kann nur bei Vorliegen eines verpönten Motives
angefochten werden. Liegt nur ein Entlassungsgrund vor, aber kein
verpöntes Motiv, kann die Entlassung nicht erfolgreich angefochten
werden und dem zu Unrecht Entlassenen verbleibt lediglich ein
Anspruch auf Schadenersatz aus ungerechtfertigter Entlassung (vgl
§ 29 AngG bzw § 1162b ABGB).</w:t>
      </w:r>
    </w:p>
    <w:p>
      <w:pPr>
        <w:widowControl w:val="on"/>
        <w:pBdr/>
        <w:spacing w:before="140" w:after="240" w:line="288" w:lineRule="auto"/>
        <w:ind w:left="0" w:right="0"/>
        <w:jc w:val="left"/>
      </w:pPr>
      <w:r>
        <w:rPr>
          <w:rFonts w:ascii="Arial" w:hAnsi="Arial" w:eastAsia="Arial" w:cs="Arial"/>
          <w:color w:val="000000"/>
          <w:sz w:val="20"/>
          <w:szCs w:val="20"/>
        </w:rPr>
        <w:t xml:space="preserve">Die Entlassung kann beim Gericht angefochten werden, wenn die
Entlassung (auch)</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des Beitrittes oder der Mitgliedschaft des Arbeitnehmers
zu Gewerkschaften;</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in Gewerkschaften;</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Einberufung der Betriebsversammlung durch den
Arbeitnehmer;</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als Mitglied des Wahlvorstandes, einer
Wahlkommission oder als Wahlzeuge;</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Bewerbung um eine Mitgliedschaft zum Betriebsrat
oder wegen einer früheren Tätigkeit im Betriebsrat;</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als Mitglied der
Schlichtungsstelle;</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als Sicherheitsvertrauensperson,
Sicherheitsfachkraft oder Arbeitsmediziner oder als Fach- oder
Hilfspersonal von Sicherheitsfachkräften oder
Arbeitsmedizinern;</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der bevorstehenden Einberufung des Arbeitnehmers zum
Präsenz- oder Ausbildungsdienst oder Zuweisung zum
Zivildienst;</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der offenbar nicht unberechtigten Geltendmachung von vom
Arbeitgeber infrage gestellten Ansprüchen aus dem Arbeitsverhältnis
durch den Arbeitnehmer;</w:t>
      </w:r>
    </w:p>
    <w:p>
      <w:pPr>
        <w:numPr>
          <w:ilvl w:val="0"/>
          <w:numId w:val="1586280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als Sprecher gem § 177
Abs 1</w:t>
      </w:r>
    </w:p>
    <w:p>
      <w:pPr>
        <w:widowControl w:val="on"/>
        <w:pBdr/>
        <w:spacing w:before="140" w:after="240" w:line="288" w:lineRule="auto"/>
        <w:ind w:left="0" w:right="0"/>
        <w:jc w:val="left"/>
      </w:pPr>
      <w:r>
        <w:rPr>
          <w:rFonts w:ascii="Arial" w:hAnsi="Arial" w:eastAsia="Arial" w:cs="Arial"/>
          <w:color w:val="000000"/>
          <w:sz w:val="20"/>
          <w:szCs w:val="20"/>
        </w:rPr>
        <w:t xml:space="preserve">erfolgt ist.</w:t>
      </w:r>
    </w:p>
    <w:p>
      <w:pPr>
        <w:widowControl w:val="on"/>
        <w:pBdr/>
        <w:spacing w:before="140" w:after="240" w:line="288" w:lineRule="auto"/>
        <w:ind w:left="0" w:right="0"/>
        <w:jc w:val="left"/>
      </w:pPr>
      <w:r>
        <w:rPr>
          <w:rFonts w:ascii="Arial" w:hAnsi="Arial" w:eastAsia="Arial" w:cs="Arial"/>
          <w:color w:val="000000"/>
          <w:sz w:val="20"/>
          <w:szCs w:val="20"/>
        </w:rPr>
        <w:t xml:space="preserve">Die Kündigungsgründe des § 105 Abs 3 Z 2
lit a und b ArbVG schließen als negatives
Anfechtungstatbestandsmerkmal die Annahme einer ansonsten, nämlich
wegen Beeinträchtigung wesentlicher Interessen des Arbeitnehmers,
sozial ungerechtfertigten Kündigung aus. Sie setzen aber das
Vorliegen einer durch die Kündigung bewirkten Beeinträchtigung
wesentlicher Interessen des Arbeitnehmers voraus (ansonsten wäre ja
die Kündigung von vornherein nicht sozialwidrig) und berechtigen
den Betriebsinhaber, ungeachtet dieser sozialen Auswirkungen zur
Kündigung. Die Verwirklichung eines Ausnahmetatbestandes hebt sohin
die Sozialwidrigkeit der Kündigung auf (RIS-Justiz RS0051929).</w:t>
      </w:r>
    </w:p>
    <w:p>
      <w:pPr>
        <w:widowControl w:val="on"/>
        <w:pBdr/>
        <w:spacing w:before="140" w:after="240" w:line="288" w:lineRule="auto"/>
        <w:ind w:left="0" w:right="0"/>
        <w:jc w:val="left"/>
      </w:pPr>
      <w:r>
        <w:rPr>
          <w:rFonts w:ascii="Arial" w:hAnsi="Arial" w:eastAsia="Arial" w:cs="Arial"/>
          <w:b/>
          <w:bCs/>
          <w:color w:val="000000"/>
          <w:sz w:val="20"/>
          <w:szCs w:val="20"/>
        </w:rPr>
        <w:t xml:space="preserve">29</w:t>
      </w:r>
      <w:r>
        <w:rPr>
          <w:rFonts w:ascii="Arial" w:hAnsi="Arial" w:eastAsia="Arial" w:cs="Arial"/>
          <w:color w:val="000000"/>
          <w:sz w:val="20"/>
          <w:szCs w:val="20"/>
        </w:rPr>
        <w:br/>
        <w:t xml:space="preserve">Die verpönten Motive sind wie oben aufgezählt in § 105
Abs 3 Z1 ArbVG abschließend aufgezählt. Gem § 105
Abs 5 ArbVG hat der Arbeit- bzw Dienstnehmer das verpönte
Motiv nur glaubhaft zu machen. Die Anfechtungsklage ist jedoch
abzuweisen, wenn bei Abwägung aller Umstände eine höhere
Wahrscheinlichkeit dafür spricht, dass ein anderes vom Arbeitgeber
glaubhaft gemachtes Motiv für die Kündigung ausschlaggebend
war.</w:t>
      </w:r>
    </w:p>
    <w:p>
      <w:pPr>
        <w:widowControl w:val="on"/>
        <w:pBdr/>
        <w:spacing w:before="140" w:after="240" w:line="288" w:lineRule="auto"/>
        <w:ind w:left="0" w:right="0"/>
        <w:jc w:val="left"/>
      </w:pPr>
      <w:r>
        <w:rPr>
          <w:rFonts w:ascii="Arial" w:hAnsi="Arial" w:eastAsia="Arial" w:cs="Arial"/>
          <w:color w:val="000000"/>
          <w:sz w:val="20"/>
          <w:szCs w:val="20"/>
        </w:rPr>
        <w:t xml:space="preserve">Macht der Arbeitnehmer glaubhaft, dass die Benachteiligung auf
das verpönte Motiv zurückzuführen ist, dann ist eine unzulässige
Benachteiligung anzunehmen, sofern nicht der Arbeitgeber glaubhaft
macht, dass ein anderes Motiv mit höherer Wahrscheinlichkeit
ausschlaggebend war (RIS-Justiz RS0052037).</w:t>
      </w:r>
    </w:p>
    <w:p>
      <w:pPr>
        <w:widowControl w:val="on"/>
        <w:pBdr/>
        <w:spacing w:before="140" w:after="240" w:line="288" w:lineRule="auto"/>
        <w:ind w:left="0" w:right="0"/>
        <w:jc w:val="left"/>
      </w:pPr>
      <w:r>
        <w:rPr>
          <w:rFonts w:ascii="Arial" w:hAnsi="Arial" w:eastAsia="Arial" w:cs="Arial"/>
          <w:color w:val="000000"/>
          <w:sz w:val="20"/>
          <w:szCs w:val="20"/>
        </w:rPr>
        <w:t xml:space="preserve">Für die Anfechtung von Kündigungen genügt es, dass das verpönte
Motiv für die Kündigung wesentlich ist; es ist nicht notwendig,
dass das Motiv ausschließlicher Beweggrund ist (RIS-Justiz
RS0051661).</w:t>
      </w:r>
    </w:p>
    <w:p>
      <w:pPr>
        <w:widowControl w:val="on"/>
        <w:pBdr/>
        <w:spacing w:before="140" w:after="240" w:line="288" w:lineRule="auto"/>
        <w:ind w:left="0" w:right="0"/>
        <w:jc w:val="left"/>
      </w:pPr>
      <w:r>
        <w:rPr>
          <w:rFonts w:ascii="Arial" w:hAnsi="Arial" w:eastAsia="Arial" w:cs="Arial"/>
          <w:color w:val="000000"/>
          <w:sz w:val="20"/>
          <w:szCs w:val="20"/>
        </w:rPr>
        <w:t xml:space="preserve">War eine Arbeitgeberin als unmittelbare Adressatin der
COVID-19-Notmaßnahmenverordnung verpflichtet, Arbeitnehmern ohne
Vorliegen eines negativen Testergebnisses (bzw einer der in der
Verordnung statuierten Ausnahmen) das Betreten der Betriebsstätte
zu verwehren, ergibt sich auch mittelbar für den Arbeitnehmer die
Verpflichtung, sich den kostenlos angebotenen Tests zu unterziehen,
um seinen arbeitsvertraglichen Pflichten nachkommen zu können. Wird
aufgrund der unberechtigten Verweigerung der aufgrund der
Verordnung zur Erfüllung der Arbeitspflicht notwendigen Tests das
Arbeitsverhältnis vom Arbeitgeber beendet, liegt dieser Beendigung
kein verpöntes Motiv zugrunde (RIS-Justiz RS0133973).</w:t>
      </w:r>
    </w:p>
    <w:p>
      <w:pPr>
        <w:widowControl w:val="on"/>
        <w:pBdr/>
        <w:spacing w:before="140" w:after="240" w:line="288" w:lineRule="auto"/>
        <w:ind w:left="0" w:right="0"/>
        <w:jc w:val="left"/>
      </w:pPr>
      <w:r>
        <w:rPr>
          <w:rFonts w:ascii="Arial" w:hAnsi="Arial" w:eastAsia="Arial" w:cs="Arial"/>
          <w:b/>
          <w:bCs/>
          <w:color w:val="000000"/>
          <w:sz w:val="20"/>
          <w:szCs w:val="20"/>
        </w:rPr>
        <w:t xml:space="preserve">30</w:t>
      </w:r>
      <w:r>
        <w:rPr>
          <w:rFonts w:ascii="Arial" w:hAnsi="Arial" w:eastAsia="Arial" w:cs="Arial"/>
          <w:color w:val="000000"/>
          <w:sz w:val="20"/>
          <w:szCs w:val="20"/>
        </w:rPr>
        <w:br/>
        <w:t xml:space="preserve">Sofern der Entlassungsgrund bekannt ist, sollten bereits in der
Klage Gründe dazu geliefert werden, aus denen der behauptete
Entlassungsgrund nicht gegeben ist. In unserem Beispiel ist der
behauptete Entlassungsgrund die vorsätzliche Schädigung des Arbeit-
bzw Dienstgebers. Es ist darauf zu achten zumindest ein
Tatbestandselement des behaupteten Entlassungsgrundes unglaubhaft
zu machen. In diesem Beispiel wurde der Vorsatz, den es für den
behaupteten Entlassungsgrund benötigt, versucht als Unachtsamkeit
darzustellen, was zum Nichtbestehen dieses Entlassungsgrundes
führen würde. Allerdings ist es nicht zu empfehlen, sich
ausschließlich auf die subjektive Tatseite zu beschränken.</w:t>
      </w:r>
    </w:p>
    <w:p>
      <w:pPr>
        <w:widowControl w:val="on"/>
        <w:pBdr/>
        <w:spacing w:before="140" w:after="240" w:line="288" w:lineRule="auto"/>
        <w:ind w:left="0" w:right="0"/>
        <w:jc w:val="left"/>
      </w:pPr>
      <w:r>
        <w:rPr>
          <w:rFonts w:ascii="Arial" w:hAnsi="Arial" w:eastAsia="Arial" w:cs="Arial"/>
          <w:b/>
          <w:bCs/>
          <w:color w:val="000000"/>
          <w:sz w:val="20"/>
          <w:szCs w:val="20"/>
        </w:rPr>
        <w:t xml:space="preserve">31</w:t>
      </w:r>
      <w:r>
        <w:rPr>
          <w:rFonts w:ascii="Arial" w:hAnsi="Arial" w:eastAsia="Arial" w:cs="Arial"/>
          <w:color w:val="000000"/>
          <w:sz w:val="20"/>
          <w:szCs w:val="20"/>
        </w:rPr>
        <w:br/>
        <w:t xml:space="preserve">Sollte kein verpöntes Motiv für die Entlassung ausschlaggebend
sein, besteht ein weiterer Anfechtungsgrund. Dieser ist gegeben,
wenn der Arbeit- bzw Dienstnehmer keinen Entlassungsgrund gesetzt
hat, bereits 6 Monate im Betrieb beschäftigt ist und die Entlassung
unter Berücksichtigung aller Umstände sozial ungerechtfertigt
ist.</w:t>
      </w:r>
    </w:p>
    <w:p>
      <w:pPr>
        <w:widowControl w:val="on"/>
        <w:pBdr/>
        <w:spacing w:before="140" w:after="240" w:line="288" w:lineRule="auto"/>
        <w:ind w:left="0" w:right="0"/>
        <w:jc w:val="left"/>
      </w:pPr>
      <w:r>
        <w:rPr>
          <w:rFonts w:ascii="Arial" w:hAnsi="Arial" w:eastAsia="Arial" w:cs="Arial"/>
          <w:color w:val="000000"/>
          <w:sz w:val="20"/>
          <w:szCs w:val="20"/>
        </w:rPr>
        <w:t xml:space="preserve">Gem § 105 Abs 3 Z 2 ArbVG ist eine Kündigung bzw
Entlassung sozial ungerechtfertigt, die wesentliche Interessen des
Arbeitnehmers beeinträchtigt, es sei denn, der Betriebsinhaber
erbringt den Nachweis, dass die Kündigung bzw Entlassung</w:t>
      </w:r>
    </w:p>
    <w:p>
      <w:pPr>
        <w:numPr>
          <w:ilvl w:val="0"/>
          <w:numId w:val="13790915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Umstände, die in der Person des Arbeitnehmers gelegen
sind und die betrieblichen Interessen nachteilig berühren oder</w:t>
      </w:r>
    </w:p>
    <w:p>
      <w:pPr>
        <w:numPr>
          <w:ilvl w:val="0"/>
          <w:numId w:val="13790915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betriebliche Erfordernisse, die einer Weiterbeschäftigung
des Arbeitnehmers entgegenstehen,</w:t>
      </w:r>
    </w:p>
    <w:p>
      <w:pPr>
        <w:widowControl w:val="on"/>
        <w:pBdr/>
        <w:spacing w:before="140" w:after="240" w:line="288" w:lineRule="auto"/>
        <w:ind w:left="0" w:right="0"/>
        <w:jc w:val="left"/>
      </w:pPr>
      <w:r>
        <w:rPr>
          <w:rFonts w:ascii="Arial" w:hAnsi="Arial" w:eastAsia="Arial" w:cs="Arial"/>
          <w:color w:val="000000"/>
          <w:sz w:val="20"/>
          <w:szCs w:val="20"/>
        </w:rPr>
        <w:t xml:space="preserve">begründet ist.</w:t>
      </w:r>
    </w:p>
    <w:p>
      <w:pPr>
        <w:widowControl w:val="on"/>
        <w:pBdr/>
        <w:spacing w:before="140" w:after="240" w:line="288" w:lineRule="auto"/>
        <w:ind w:left="0" w:right="0"/>
        <w:jc w:val="left"/>
      </w:pPr>
      <w:r>
        <w:rPr>
          <w:rFonts w:ascii="Arial" w:hAnsi="Arial" w:eastAsia="Arial" w:cs="Arial"/>
          <w:b/>
          <w:bCs/>
          <w:color w:val="000000"/>
          <w:sz w:val="20"/>
          <w:szCs w:val="20"/>
        </w:rPr>
        <w:t xml:space="preserve">Beachte:</w:t>
      </w:r>
      <w:r>
        <w:rPr>
          <w:rFonts w:ascii="Arial" w:hAnsi="Arial" w:eastAsia="Arial" w:cs="Arial"/>
          <w:color w:val="000000"/>
          <w:sz w:val="20"/>
          <w:szCs w:val="20"/>
        </w:rPr>
        <w:t xml:space="preserve"> Gem § 106 Abs 2 ArbVG ist
eine Anfechtung aufgrund Sozialwidrigkeit nicht möglich, sollte der
Betriebsrat innerhalb einer Frist von einer Woche der Entlassung
ausdrücklich zugestimmt haben.</w:t>
      </w:r>
    </w:p>
    <w:p>
      <w:pPr>
        <w:widowControl w:val="on"/>
        <w:pBdr/>
        <w:spacing w:before="140" w:after="240" w:line="288" w:lineRule="auto"/>
        <w:ind w:left="0" w:right="0"/>
        <w:jc w:val="left"/>
      </w:pPr>
      <w:r>
        <w:rPr>
          <w:rFonts w:ascii="Arial" w:hAnsi="Arial" w:eastAsia="Arial" w:cs="Arial"/>
          <w:color w:val="000000"/>
          <w:sz w:val="20"/>
          <w:szCs w:val="20"/>
        </w:rPr>
        <w:t xml:space="preserve">Bei Prüfung der Interessenbeeinträchtigung sind alle sozialen
Umstände zueinander in Beziehung zu setzen. Der Arbeitnehmer ist
vor allem auf ein laufendes Einkommen zur Aufrechterhaltung seiner
Existenz und seiner Sorgeberechtigten angewiesen. Daher ist der
Arbeitnehmer nicht verhalten, zugunsten des Arbeitgebers den
Vermögensstamm zur Vermeidung von finanziellen Einbußen
anzugreifen, sondern ist auf diesen nur insoweit Bezug zu nehmen,
als er Erträge und damit laufendes Einkommen bringt (RIS-Justiz
RS0110944).</w:t>
      </w:r>
    </w:p>
    <w:p>
      <w:pPr>
        <w:widowControl w:val="on"/>
        <w:pBdr/>
        <w:spacing w:before="140" w:after="240" w:line="288" w:lineRule="auto"/>
        <w:ind w:left="0" w:right="0"/>
        <w:jc w:val="left"/>
      </w:pPr>
      <w:r>
        <w:rPr>
          <w:rFonts w:ascii="Arial" w:hAnsi="Arial" w:eastAsia="Arial" w:cs="Arial"/>
          <w:color w:val="000000"/>
          <w:sz w:val="20"/>
          <w:szCs w:val="20"/>
        </w:rPr>
        <w:t xml:space="preserve">Bei der Untersuchung, ob durch die Kündigung eine
Beeinträchtigung wesentlicher Interessen eintritt, ist auf die
Möglichkeit der Erlangung eines neuen, einigermaßen gleichwertigen
Arbeitsplatzes und in diesem Zusammenhang auf die Dauer der
Betriebszugehörigkeit, das Alter des Arbeitnehmers, den Verlust
allfälliger dienstzeitabhängiger Ansprüche sowie der mit dem
Arbeitsverhältnis verbundenen Vorteile (wie etwa Dienstwohnung)
abzustellen; darüber hinaus sind aber auch die gesamten
wirtschaftlichen Verhältnisse des Arbeitnehmers einzubeziehen, wie
Einkommen, Vermögen, auf Gesetz, Vertrag oder sittlichen
Verpflichtungen beruhende Sorgepflichten, das Einkommen des
Ehegatten und der anderen erwerbstätigen Familienmitglieder sowie
Schulden, soweit deren Entstehungsgrund berücksichtigungswürdig ist
(RIS-Justiz RS0051703).</w:t>
      </w:r>
    </w:p>
    <w:p>
      <w:pPr>
        <w:widowControl w:val="on"/>
        <w:pBdr/>
        <w:spacing w:before="140" w:after="240" w:line="288" w:lineRule="auto"/>
        <w:ind w:left="0" w:right="0"/>
        <w:jc w:val="left"/>
      </w:pPr>
      <w:r>
        <w:rPr>
          <w:rFonts w:ascii="Arial" w:hAnsi="Arial" w:eastAsia="Arial" w:cs="Arial"/>
          <w:color w:val="000000"/>
          <w:sz w:val="20"/>
          <w:szCs w:val="20"/>
        </w:rPr>
        <w:t xml:space="preserve">Das Tatbestandsmerkmal der Beeinträchtigung wesentlicher
Interessen ist nur dann erfüllt, wenn die durch die Kündigung
bewirkte finanzielle Schlechterstellung ein solches Ausmaß
erreicht, dass sie eine fühlbare, ins Gewicht fallende
Beeinträchtigung der wirtschaftlichen Lage zur Folge hat, ohne dass
aber eine soziale Notlage oder eine Existenzgefährdung eintreten
müsste (RIS-Justiz RS0051753).</w:t>
      </w:r>
    </w:p>
    <w:p>
      <w:pPr>
        <w:widowControl w:val="on"/>
        <w:pBdr/>
        <w:spacing w:before="140" w:after="240" w:line="288" w:lineRule="auto"/>
        <w:ind w:left="0" w:right="0"/>
        <w:jc w:val="left"/>
      </w:pPr>
      <w:r>
        <w:rPr>
          <w:rFonts w:ascii="Arial" w:hAnsi="Arial" w:eastAsia="Arial" w:cs="Arial"/>
          <w:color w:val="000000"/>
          <w:sz w:val="20"/>
          <w:szCs w:val="20"/>
        </w:rPr>
        <w:t xml:space="preserve">In die Untersuchung, ob wesentliche Interessen des Arbeitnehmers
beeinträchtigt sind, ist die gesamte wirtschaftliche und soziale
Lage des Arbeitnehmers einzubeziehen, sodass (im vorliegenden Fall)
insbesondere die Veränderung der Einkommensverhältnisse, das Fehlen
von Sorgepflichten, die Kreditbelastung, der Gesundheitszustand,
das Lebensalter und die Auswirkung der Kündigung auf die
Bemessungsgrundlage der zu erwartenden Pension, aber auch die Höhe
der Abfertigung zu berücksichtigen sind (RIS-Justiz RS0051741).</w:t>
      </w:r>
    </w:p>
    <w:p>
      <w:pPr>
        <w:widowControl w:val="on"/>
        <w:pBdr/>
        <w:spacing w:before="140" w:after="240" w:line="288" w:lineRule="auto"/>
        <w:ind w:left="0" w:right="0"/>
        <w:jc w:val="left"/>
      </w:pPr>
      <w:r>
        <w:rPr>
          <w:rFonts w:ascii="Arial" w:hAnsi="Arial" w:eastAsia="Arial" w:cs="Arial"/>
          <w:b/>
          <w:bCs/>
          <w:color w:val="000000"/>
          <w:sz w:val="20"/>
          <w:szCs w:val="20"/>
        </w:rPr>
        <w:t xml:space="preserve">32</w:t>
      </w:r>
      <w:r>
        <w:rPr>
          <w:rFonts w:ascii="Arial" w:hAnsi="Arial" w:eastAsia="Arial" w:cs="Arial"/>
          <w:color w:val="000000"/>
          <w:sz w:val="20"/>
          <w:szCs w:val="20"/>
        </w:rPr>
        <w:br/>
        <w:t xml:space="preserve">Die soziale Ungerechtigkeit bietet ein relativ breites Spektrum an
Argumentationsmöglichkeiten. Es ist aufzuzeigen, dass wesentliche
Interessen des Arbeit- bzw Dienstnehmers durch die Entlassung
beeinträchtigt werden. Man sollte sich in diesem Punkt darauf
spezialisieren, die wirtschaftlichen Verhältnisse des Arbeit- bzw
Dienstnehmers zu erläutern und dadurch aufzuzeigen, dass die
Entlassung den Kläger wirtschaftlich sehr hart treffen würde und
seine Existenz gefährden könnte. Kriterien sind die Anzahl der
Kinder, etwaige andere Unterhaltspflichten, ein anderes Einkommen
des Entlassenen, das Einkommen des Ehegatten sowie die realistische
Einschätzung der Wiedereingliederung in den Arbeitsmarkt usw.</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Entlassung wurde zu Unrecht ausgesprochen, da die klagende
Partei keinerlei Entlassungsgrund gesetzt hat. Weiters ist die
klagende Partei schon mindestens 6 Monate bei der beklagten Partei
beschäftigt und wäre die Kündigung in höchstem Maße sozial
ungerechtfertigt.</w:t>
            </w:r>
          </w:p>
        </w:tc>
      </w:tr>
    </w:tbl>
    <w:p>
      <w:pPr>
        <w:widowControl w:val="on"/>
        <w:pBdr/>
        <w:spacing w:before="140" w:after="240" w:line="288" w:lineRule="auto"/>
        <w:ind w:left="0" w:right="0"/>
        <w:jc w:val="left"/>
      </w:pPr>
      <w:r>
        <w:rPr>
          <w:rFonts w:ascii="Arial" w:hAnsi="Arial" w:eastAsia="Arial" w:cs="Arial"/>
          <w:color w:val="000000"/>
          <w:sz w:val="20"/>
          <w:szCs w:val="20"/>
        </w:rPr>
        <w:t xml:space="preserve">Bei Lösung der Frage, ob eine Kündigung sozial ungerechtfertigt
ist, muss vorerst ohne Rücksicht auf andere
Anfechtungsvoraussetzungen und ohne Koppelung mit anderen
Tatbeständen oder Tatbestandsmerkmalen geprüft werden, ob durch sie
wesentliche Interessen der betroffenen Arbeitnehmer beeinträchtigt
werden (RIS-Justiz RS0051640).</w:t>
      </w:r>
    </w:p>
    <w:p>
      <w:pPr>
        <w:widowControl w:val="on"/>
        <w:pBdr/>
        <w:spacing w:before="140" w:after="240" w:line="288" w:lineRule="auto"/>
        <w:ind w:left="0" w:right="0"/>
        <w:jc w:val="left"/>
      </w:pPr>
      <w:r>
        <w:rPr>
          <w:rFonts w:ascii="Arial" w:hAnsi="Arial" w:eastAsia="Arial" w:cs="Arial"/>
          <w:b/>
          <w:bCs/>
          <w:color w:val="000000"/>
          <w:sz w:val="20"/>
          <w:szCs w:val="20"/>
        </w:rPr>
        <w:t xml:space="preserve">33</w:t>
      </w:r>
      <w:r>
        <w:rPr>
          <w:rFonts w:ascii="Arial" w:hAnsi="Arial" w:eastAsia="Arial" w:cs="Arial"/>
          <w:color w:val="000000"/>
          <w:sz w:val="20"/>
          <w:szCs w:val="20"/>
        </w:rPr>
        <w:br/>
        <w:t xml:space="preserve">Es empfiehlt sich, am Ende der Ausführungen noch einmal den
Anfechtungsgrund anzuführen und zusammenzufassen, um es leichter zu
machen, den Argumentationen folgen zu können.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Gem § 5 Abs 2 ASGG ist das Arbeits- und Sozialgericht
Wien zuständig, da sich der Sitz der Schinden und Schaffen GmbH im
22. Wiener Gemeindebezirk befindet und sich der Streit auf diesen
Betrieb bezieht. Daher fällt diese Streitigkeit in den Sprengel des
Arbeits- und Sozialgerichts Wien.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34</w:t>
      </w:r>
      <w:r>
        <w:rPr>
          <w:rFonts w:ascii="Arial" w:hAnsi="Arial" w:eastAsia="Arial" w:cs="Arial"/>
          <w:color w:val="000000"/>
          <w:sz w:val="20"/>
          <w:szCs w:val="20"/>
        </w:rPr>
        <w:br/>
        <w:t xml:space="preserve">Gem § 5 Abs 2 ASGG ist für die im § 50 Abs 2
ASGG genannten Rechtsstreitigkeiten nur das Gericht örtlich
zuständig, in dessen Sprengel sich der Betrieb befindet, auf den
sich die Rechtsstreitigkeit bezieht.</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Grundlage der obigen Ausführungen begehrt die klagende
Partei folgendes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Urteil:</w:t>
            </w:r>
          </w:p>
        </w:tc>
      </w:tr>
      <w:tr>
        <w:trPr>
          <w:trHeight w:val="0" w:hRule="atLeast"/>
        </w:trPr>
        <w:tc>
          <w:tcPr>
            <w:tcW w:w="0" w:type="auto"/>
            <w:shd w:val="clear" w:color="auto" w:fill="FFFFFF"/>
            <w:tcMar>
              <w:top w:w="156" w:type="dxa"/>
              <w:left w:w="0" w:type="auto"/>
              <w:bottom w:w="78" w:type="dxa"/>
              <w:right w:w="0" w:type="auto"/>
            </w:tcMar>
            <w:vAlign w:val="top"/>
          </w:tcPr>
          <w:p>
            <w:pPr>
              <w:numPr>
                <w:ilvl w:val="0"/>
                <w:numId w:val="14729308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durch die beklagte Partei am 17.11.2014 ausgesprochene
Entlassung der klagenden Partei wird für rechtsunwirksam
erklärt.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35</w:t>
      </w:r>
      <w:r>
        <w:rPr>
          <w:rFonts w:ascii="Arial" w:hAnsi="Arial" w:eastAsia="Arial" w:cs="Arial"/>
          <w:color w:val="000000"/>
          <w:sz w:val="20"/>
          <w:szCs w:val="20"/>
        </w:rPr>
        <w:br/>
        <w:t xml:space="preserve">Zum Klagebegehren im Allgemeinen siehe Muster „Klage (Allgemein,
Leistung, lang)“.</w:t>
      </w:r>
    </w:p>
    <w:p>
      <w:pPr>
        <w:widowControl w:val="on"/>
        <w:pBdr/>
        <w:spacing w:before="140" w:after="240" w:line="288" w:lineRule="auto"/>
        <w:ind w:left="0" w:right="0"/>
        <w:jc w:val="left"/>
      </w:pPr>
      <w:r>
        <w:rPr>
          <w:rFonts w:ascii="Arial" w:hAnsi="Arial" w:eastAsia="Arial" w:cs="Arial"/>
          <w:b/>
          <w:bCs/>
          <w:color w:val="000000"/>
          <w:sz w:val="20"/>
          <w:szCs w:val="20"/>
        </w:rPr>
        <w:t xml:space="preserve">36</w:t>
      </w:r>
      <w:r>
        <w:rPr>
          <w:rFonts w:ascii="Arial" w:hAnsi="Arial" w:eastAsia="Arial" w:cs="Arial"/>
          <w:color w:val="000000"/>
          <w:sz w:val="20"/>
          <w:szCs w:val="20"/>
        </w:rPr>
        <w:br/>
        <w:t xml:space="preserve">Gibt das Gericht der Entlassungsanfechtung statt, so ist die
Entlassung rechtsunwirksam. Der Arbeit- bzw Dienstgeber hat das
Arbeitsentgelt sowie alle sonstigen Leistungen, die der Kläger in
der Zeit erhalten hätte, nachzuzahlen. Der Arbeit- bzw Dienstnehmer
ist verpflichtet, seinen Dienst umgehend wieder aufzunehmen.</w:t>
      </w:r>
    </w:p>
    <w:p>
      <w:pPr>
        <w:widowControl w:val="on"/>
        <w:pBdr/>
        <w:spacing w:before="140" w:after="240" w:line="288" w:lineRule="auto"/>
        <w:ind w:left="0" w:right="0"/>
        <w:jc w:val="left"/>
      </w:pPr>
      <w:r>
        <w:rPr>
          <w:rFonts w:ascii="Arial" w:hAnsi="Arial" w:eastAsia="Arial" w:cs="Arial"/>
          <w:b/>
          <w:bCs/>
          <w:color w:val="000000"/>
          <w:sz w:val="20"/>
          <w:szCs w:val="20"/>
        </w:rPr>
        <w:t xml:space="preserve">37</w:t>
      </w:r>
      <w:r>
        <w:rPr>
          <w:rFonts w:ascii="Arial" w:hAnsi="Arial" w:eastAsia="Arial" w:cs="Arial"/>
          <w:color w:val="000000"/>
          <w:sz w:val="20"/>
          <w:szCs w:val="20"/>
        </w:rPr>
        <w:br/>
        <w:t xml:space="preserve">Das Verlangen des betroffenen Arbeitnehmers auf Anfechtung kann
bereits vor Beginn der Anfechtungsfrist gestellt werden, es muss
nur mit dem Kündigungsfall in einem zeitlichen und rechtlichen
Zusammenhang stehen; hiebei ist als Verlangen auf Anfechtung auch
das an den Betriebsrat gerichtete Ansuchen des Arbeitnehmers zu
werten, ihm die Anfechtung der trotz Widerspruch des Betriebsrates
erklärten Kündigung zu übertragen (RIS-Justiz RS0102517).</w:t>
      </w:r>
    </w:p>
    <w:p>
      <w:pPr>
        <w:widowControl w:val="on"/>
        <w:pBdr/>
        <w:spacing w:before="140" w:after="240" w:line="288" w:lineRule="auto"/>
        <w:ind w:left="0" w:right="0"/>
        <w:jc w:val="left"/>
      </w:pPr>
      <w:r>
        <w:rPr>
          <w:rFonts w:ascii="Arial" w:hAnsi="Arial" w:eastAsia="Arial" w:cs="Arial"/>
          <w:b/>
          <w:bCs/>
          <w:color w:val="000000"/>
          <w:sz w:val="20"/>
          <w:szCs w:val="20"/>
        </w:rPr>
        <w:t xml:space="preserve">38</w:t>
      </w:r>
      <w:r>
        <w:rPr>
          <w:rFonts w:ascii="Arial" w:hAnsi="Arial" w:eastAsia="Arial" w:cs="Arial"/>
          <w:color w:val="000000"/>
          <w:sz w:val="20"/>
          <w:szCs w:val="20"/>
        </w:rPr>
        <w:br/>
        <w:t xml:space="preserve">Liegt kein „konzernbezogenes Arbeitsverhältnis“ vor, besteht keine
Verpflichtung des Arbeitgebers, die Möglichkeit der
Weiterbeschäftigung eines Arbeitnehmers, dessen Arbeitsplatz
wegfällt, konzernweit zu prüfen (Abgehen von 9 ObA 310/93)
(RIS-Justiz RS0124832).</w:t>
      </w:r>
    </w:p>
    <w:p>
      <w:pPr>
        <w:widowControl w:val="on"/>
        <w:pBdr/>
        <w:spacing w:before="140" w:after="240" w:line="288" w:lineRule="auto"/>
        <w:ind w:left="0" w:right="0"/>
        <w:jc w:val="left"/>
      </w:pPr>
      <w:r>
        <w:rPr>
          <w:rFonts w:ascii="Arial" w:hAnsi="Arial" w:eastAsia="Arial" w:cs="Arial"/>
          <w:b/>
          <w:bCs/>
          <w:color w:val="000000"/>
          <w:sz w:val="20"/>
          <w:szCs w:val="20"/>
        </w:rPr>
        <w:t xml:space="preserve">39</w:t>
      </w:r>
      <w:r>
        <w:rPr>
          <w:rFonts w:ascii="Arial" w:hAnsi="Arial" w:eastAsia="Arial" w:cs="Arial"/>
          <w:color w:val="000000"/>
          <w:sz w:val="20"/>
          <w:szCs w:val="20"/>
        </w:rPr>
        <w:br/>
        <w:t xml:space="preserve">Dem Arbeitnehmer ist die Berufung auf § 879 ABGB bei allen
nunmehr unter § 105 Abs 3 Z 1 und 2 ArbVG fallenden
(materiellen) Anfechtungssachverhalten grundsätzlich verwehrt.
§ 879 ABGB bleibt aber jedenfalls für Arbeitnehmer, die nicht
unter den Geltungsbereich des ArbVG fallen, voll anwendbar. Der
Sittenwidrigkeit von Rechtshandlungen und Rechtsgeschäften kommt
nämlich eine so allgemeine und fundamentale Bedeutung zu, dass es
nicht zulässig erscheint, ein privatrechtliches Grundprinzip durch
die kollektivrechtliche Konstruktion des Kündigungsschutzes
vollkommen zu substituieren. Soweit nicht der Gesetzgeber den
Schutz gegen Motivkündigungen besonders geregelt hat und diese
Regeln nicht wenigstens analog anzuwenden sind, muss daher der
Rückgriff auf § 879 ABGB gewährleistet sein (RIS-Justiz
RS0018163).</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29308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37909157">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15862805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1917662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4647161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4938301">
    <w:multiLevelType w:val="hybridMultilevel"/>
    <w:lvl w:ilvl="0" w:tplc="82975775">
      <w:start w:val="1"/>
      <w:numFmt w:val="decimal"/>
      <w:lvlText w:val="%1."/>
      <w:lvlJc w:val="left"/>
      <w:pPr>
        <w:ind w:left="720" w:hanging="360"/>
      </w:pPr>
    </w:lvl>
    <w:lvl w:ilvl="1" w:tplc="82975775" w:tentative="1">
      <w:start w:val="1"/>
      <w:numFmt w:val="lowerLetter"/>
      <w:lvlText w:val="%2."/>
      <w:lvlJc w:val="left"/>
      <w:pPr>
        <w:ind w:left="1440" w:hanging="360"/>
      </w:pPr>
    </w:lvl>
    <w:lvl w:ilvl="2" w:tplc="82975775" w:tentative="1">
      <w:start w:val="1"/>
      <w:numFmt w:val="lowerRoman"/>
      <w:lvlText w:val="%3."/>
      <w:lvlJc w:val="right"/>
      <w:pPr>
        <w:ind w:left="2160" w:hanging="180"/>
      </w:pPr>
    </w:lvl>
    <w:lvl w:ilvl="3" w:tplc="82975775" w:tentative="1">
      <w:start w:val="1"/>
      <w:numFmt w:val="decimal"/>
      <w:lvlText w:val="%4."/>
      <w:lvlJc w:val="left"/>
      <w:pPr>
        <w:ind w:left="2880" w:hanging="360"/>
      </w:pPr>
    </w:lvl>
    <w:lvl w:ilvl="4" w:tplc="82975775" w:tentative="1">
      <w:start w:val="1"/>
      <w:numFmt w:val="lowerLetter"/>
      <w:lvlText w:val="%5."/>
      <w:lvlJc w:val="left"/>
      <w:pPr>
        <w:ind w:left="3600" w:hanging="360"/>
      </w:pPr>
    </w:lvl>
    <w:lvl w:ilvl="5" w:tplc="82975775" w:tentative="1">
      <w:start w:val="1"/>
      <w:numFmt w:val="lowerRoman"/>
      <w:lvlText w:val="%6."/>
      <w:lvlJc w:val="right"/>
      <w:pPr>
        <w:ind w:left="4320" w:hanging="180"/>
      </w:pPr>
    </w:lvl>
    <w:lvl w:ilvl="6" w:tplc="82975775" w:tentative="1">
      <w:start w:val="1"/>
      <w:numFmt w:val="decimal"/>
      <w:lvlText w:val="%7."/>
      <w:lvlJc w:val="left"/>
      <w:pPr>
        <w:ind w:left="5040" w:hanging="360"/>
      </w:pPr>
    </w:lvl>
    <w:lvl w:ilvl="7" w:tplc="82975775" w:tentative="1">
      <w:start w:val="1"/>
      <w:numFmt w:val="lowerLetter"/>
      <w:lvlText w:val="%8."/>
      <w:lvlJc w:val="left"/>
      <w:pPr>
        <w:ind w:left="5760" w:hanging="360"/>
      </w:pPr>
    </w:lvl>
    <w:lvl w:ilvl="8" w:tplc="82975775" w:tentative="1">
      <w:start w:val="1"/>
      <w:numFmt w:val="lowerRoman"/>
      <w:lvlText w:val="%9."/>
      <w:lvlJc w:val="right"/>
      <w:pPr>
        <w:ind w:left="6480" w:hanging="180"/>
      </w:pPr>
    </w:lvl>
  </w:abstractNum>
  <w:abstractNum w:abstractNumId="84938300">
    <w:multiLevelType w:val="hybridMultilevel"/>
    <w:lvl w:ilvl="0" w:tplc="18343655">
      <w:start w:val="1"/>
      <w:numFmt w:val="decimal"/>
      <w:lvlText w:val="%1."/>
      <w:lvlJc w:val="left"/>
      <w:pPr>
        <w:ind w:left="720" w:hanging="360"/>
      </w:pPr>
    </w:lvl>
    <w:lvl w:ilvl="1" w:tplc="18343655" w:tentative="1">
      <w:start w:val="1"/>
      <w:numFmt w:val="lowerLetter"/>
      <w:lvlText w:val="%2."/>
      <w:lvlJc w:val="left"/>
      <w:pPr>
        <w:ind w:left="1440" w:hanging="360"/>
      </w:pPr>
    </w:lvl>
    <w:lvl w:ilvl="2" w:tplc="18343655" w:tentative="1">
      <w:start w:val="1"/>
      <w:numFmt w:val="lowerRoman"/>
      <w:lvlText w:val="%3."/>
      <w:lvlJc w:val="right"/>
      <w:pPr>
        <w:ind w:left="2160" w:hanging="180"/>
      </w:pPr>
    </w:lvl>
    <w:lvl w:ilvl="3" w:tplc="18343655" w:tentative="1">
      <w:start w:val="1"/>
      <w:numFmt w:val="decimal"/>
      <w:lvlText w:val="%4."/>
      <w:lvlJc w:val="left"/>
      <w:pPr>
        <w:ind w:left="2880" w:hanging="360"/>
      </w:pPr>
    </w:lvl>
    <w:lvl w:ilvl="4" w:tplc="18343655" w:tentative="1">
      <w:start w:val="1"/>
      <w:numFmt w:val="lowerLetter"/>
      <w:lvlText w:val="%5."/>
      <w:lvlJc w:val="left"/>
      <w:pPr>
        <w:ind w:left="3600" w:hanging="360"/>
      </w:pPr>
    </w:lvl>
    <w:lvl w:ilvl="5" w:tplc="18343655" w:tentative="1">
      <w:start w:val="1"/>
      <w:numFmt w:val="lowerRoman"/>
      <w:lvlText w:val="%6."/>
      <w:lvlJc w:val="right"/>
      <w:pPr>
        <w:ind w:left="4320" w:hanging="180"/>
      </w:pPr>
    </w:lvl>
    <w:lvl w:ilvl="6" w:tplc="18343655" w:tentative="1">
      <w:start w:val="1"/>
      <w:numFmt w:val="decimal"/>
      <w:lvlText w:val="%7."/>
      <w:lvlJc w:val="left"/>
      <w:pPr>
        <w:ind w:left="5040" w:hanging="360"/>
      </w:pPr>
    </w:lvl>
    <w:lvl w:ilvl="7" w:tplc="18343655" w:tentative="1">
      <w:start w:val="1"/>
      <w:numFmt w:val="lowerLetter"/>
      <w:lvlText w:val="%8."/>
      <w:lvlJc w:val="left"/>
      <w:pPr>
        <w:ind w:left="5760" w:hanging="360"/>
      </w:pPr>
    </w:lvl>
    <w:lvl w:ilvl="8" w:tplc="18343655" w:tentative="1">
      <w:start w:val="1"/>
      <w:numFmt w:val="lowerRoman"/>
      <w:lvlText w:val="%9."/>
      <w:lvlJc w:val="right"/>
      <w:pPr>
        <w:ind w:left="6480" w:hanging="180"/>
      </w:pPr>
    </w:lvl>
  </w:abstractNum>
  <w:abstractNum w:abstractNumId="84938299">
    <w:multiLevelType w:val="hybridMultilevel"/>
    <w:lvl w:ilvl="0" w:tplc="95871559">
      <w:start w:val="1"/>
      <w:numFmt w:val="decimal"/>
      <w:lvlText w:val="%1."/>
      <w:lvlJc w:val="left"/>
      <w:pPr>
        <w:ind w:left="720" w:hanging="360"/>
      </w:pPr>
    </w:lvl>
    <w:lvl w:ilvl="1" w:tplc="95871559" w:tentative="1">
      <w:start w:val="1"/>
      <w:numFmt w:val="lowerLetter"/>
      <w:lvlText w:val="%2."/>
      <w:lvlJc w:val="left"/>
      <w:pPr>
        <w:ind w:left="1440" w:hanging="360"/>
      </w:pPr>
    </w:lvl>
    <w:lvl w:ilvl="2" w:tplc="95871559" w:tentative="1">
      <w:start w:val="1"/>
      <w:numFmt w:val="lowerRoman"/>
      <w:lvlText w:val="%3."/>
      <w:lvlJc w:val="right"/>
      <w:pPr>
        <w:ind w:left="2160" w:hanging="180"/>
      </w:pPr>
    </w:lvl>
    <w:lvl w:ilvl="3" w:tplc="95871559" w:tentative="1">
      <w:start w:val="1"/>
      <w:numFmt w:val="decimal"/>
      <w:lvlText w:val="%4."/>
      <w:lvlJc w:val="left"/>
      <w:pPr>
        <w:ind w:left="2880" w:hanging="360"/>
      </w:pPr>
    </w:lvl>
    <w:lvl w:ilvl="4" w:tplc="95871559" w:tentative="1">
      <w:start w:val="1"/>
      <w:numFmt w:val="lowerLetter"/>
      <w:lvlText w:val="%5."/>
      <w:lvlJc w:val="left"/>
      <w:pPr>
        <w:ind w:left="3600" w:hanging="360"/>
      </w:pPr>
    </w:lvl>
    <w:lvl w:ilvl="5" w:tplc="95871559" w:tentative="1">
      <w:start w:val="1"/>
      <w:numFmt w:val="lowerRoman"/>
      <w:lvlText w:val="%6."/>
      <w:lvlJc w:val="right"/>
      <w:pPr>
        <w:ind w:left="4320" w:hanging="180"/>
      </w:pPr>
    </w:lvl>
    <w:lvl w:ilvl="6" w:tplc="95871559" w:tentative="1">
      <w:start w:val="1"/>
      <w:numFmt w:val="decimal"/>
      <w:lvlText w:val="%7."/>
      <w:lvlJc w:val="left"/>
      <w:pPr>
        <w:ind w:left="5040" w:hanging="360"/>
      </w:pPr>
    </w:lvl>
    <w:lvl w:ilvl="7" w:tplc="95871559" w:tentative="1">
      <w:start w:val="1"/>
      <w:numFmt w:val="lowerLetter"/>
      <w:lvlText w:val="%8."/>
      <w:lvlJc w:val="left"/>
      <w:pPr>
        <w:ind w:left="5760" w:hanging="360"/>
      </w:pPr>
    </w:lvl>
    <w:lvl w:ilvl="8" w:tplc="95871559" w:tentative="1">
      <w:start w:val="1"/>
      <w:numFmt w:val="lowerRoman"/>
      <w:lvlText w:val="%9."/>
      <w:lvlJc w:val="right"/>
      <w:pPr>
        <w:ind w:left="6480" w:hanging="180"/>
      </w:pPr>
    </w:lvl>
  </w:abstractNum>
  <w:abstractNum w:abstractNumId="84938298">
    <w:multiLevelType w:val="hybridMultilevel"/>
    <w:lvl w:ilvl="0" w:tplc="73867088">
      <w:start w:val="1"/>
      <w:numFmt w:val="decimal"/>
      <w:lvlText w:val="%1."/>
      <w:lvlJc w:val="left"/>
      <w:pPr>
        <w:ind w:left="720" w:hanging="360"/>
      </w:pPr>
    </w:lvl>
    <w:lvl w:ilvl="1" w:tplc="73867088" w:tentative="1">
      <w:start w:val="1"/>
      <w:numFmt w:val="lowerLetter"/>
      <w:lvlText w:val="%2."/>
      <w:lvlJc w:val="left"/>
      <w:pPr>
        <w:ind w:left="1440" w:hanging="360"/>
      </w:pPr>
    </w:lvl>
    <w:lvl w:ilvl="2" w:tplc="73867088" w:tentative="1">
      <w:start w:val="1"/>
      <w:numFmt w:val="lowerRoman"/>
      <w:lvlText w:val="%3."/>
      <w:lvlJc w:val="right"/>
      <w:pPr>
        <w:ind w:left="2160" w:hanging="180"/>
      </w:pPr>
    </w:lvl>
    <w:lvl w:ilvl="3" w:tplc="73867088" w:tentative="1">
      <w:start w:val="1"/>
      <w:numFmt w:val="decimal"/>
      <w:lvlText w:val="%4."/>
      <w:lvlJc w:val="left"/>
      <w:pPr>
        <w:ind w:left="2880" w:hanging="360"/>
      </w:pPr>
    </w:lvl>
    <w:lvl w:ilvl="4" w:tplc="73867088" w:tentative="1">
      <w:start w:val="1"/>
      <w:numFmt w:val="lowerLetter"/>
      <w:lvlText w:val="%5."/>
      <w:lvlJc w:val="left"/>
      <w:pPr>
        <w:ind w:left="3600" w:hanging="360"/>
      </w:pPr>
    </w:lvl>
    <w:lvl w:ilvl="5" w:tplc="73867088" w:tentative="1">
      <w:start w:val="1"/>
      <w:numFmt w:val="lowerRoman"/>
      <w:lvlText w:val="%6."/>
      <w:lvlJc w:val="right"/>
      <w:pPr>
        <w:ind w:left="4320" w:hanging="180"/>
      </w:pPr>
    </w:lvl>
    <w:lvl w:ilvl="6" w:tplc="73867088" w:tentative="1">
      <w:start w:val="1"/>
      <w:numFmt w:val="decimal"/>
      <w:lvlText w:val="%7."/>
      <w:lvlJc w:val="left"/>
      <w:pPr>
        <w:ind w:left="5040" w:hanging="360"/>
      </w:pPr>
    </w:lvl>
    <w:lvl w:ilvl="7" w:tplc="73867088" w:tentative="1">
      <w:start w:val="1"/>
      <w:numFmt w:val="lowerLetter"/>
      <w:lvlText w:val="%8."/>
      <w:lvlJc w:val="left"/>
      <w:pPr>
        <w:ind w:left="5760" w:hanging="360"/>
      </w:pPr>
    </w:lvl>
    <w:lvl w:ilvl="8" w:tplc="73867088" w:tentative="1">
      <w:start w:val="1"/>
      <w:numFmt w:val="lowerRoman"/>
      <w:lvlText w:val="%9."/>
      <w:lvlJc w:val="right"/>
      <w:pPr>
        <w:ind w:left="6480" w:hanging="180"/>
      </w:pPr>
    </w:lvl>
  </w:abstractNum>
  <w:abstractNum w:abstractNumId="84938297">
    <w:multiLevelType w:val="hybridMultilevel"/>
    <w:lvl w:ilvl="0" w:tplc="21517890">
      <w:start w:val="1"/>
      <w:numFmt w:val="decimal"/>
      <w:lvlText w:val="%1."/>
      <w:lvlJc w:val="left"/>
      <w:pPr>
        <w:ind w:left="720" w:hanging="360"/>
      </w:pPr>
    </w:lvl>
    <w:lvl w:ilvl="1" w:tplc="21517890" w:tentative="1">
      <w:start w:val="1"/>
      <w:numFmt w:val="lowerLetter"/>
      <w:lvlText w:val="%2."/>
      <w:lvlJc w:val="left"/>
      <w:pPr>
        <w:ind w:left="1440" w:hanging="360"/>
      </w:pPr>
    </w:lvl>
    <w:lvl w:ilvl="2" w:tplc="21517890" w:tentative="1">
      <w:start w:val="1"/>
      <w:numFmt w:val="lowerRoman"/>
      <w:lvlText w:val="%3."/>
      <w:lvlJc w:val="right"/>
      <w:pPr>
        <w:ind w:left="2160" w:hanging="180"/>
      </w:pPr>
    </w:lvl>
    <w:lvl w:ilvl="3" w:tplc="21517890" w:tentative="1">
      <w:start w:val="1"/>
      <w:numFmt w:val="decimal"/>
      <w:lvlText w:val="%4."/>
      <w:lvlJc w:val="left"/>
      <w:pPr>
        <w:ind w:left="2880" w:hanging="360"/>
      </w:pPr>
    </w:lvl>
    <w:lvl w:ilvl="4" w:tplc="21517890" w:tentative="1">
      <w:start w:val="1"/>
      <w:numFmt w:val="lowerLetter"/>
      <w:lvlText w:val="%5."/>
      <w:lvlJc w:val="left"/>
      <w:pPr>
        <w:ind w:left="3600" w:hanging="360"/>
      </w:pPr>
    </w:lvl>
    <w:lvl w:ilvl="5" w:tplc="21517890" w:tentative="1">
      <w:start w:val="1"/>
      <w:numFmt w:val="lowerRoman"/>
      <w:lvlText w:val="%6."/>
      <w:lvlJc w:val="right"/>
      <w:pPr>
        <w:ind w:left="4320" w:hanging="180"/>
      </w:pPr>
    </w:lvl>
    <w:lvl w:ilvl="6" w:tplc="21517890" w:tentative="1">
      <w:start w:val="1"/>
      <w:numFmt w:val="decimal"/>
      <w:lvlText w:val="%7."/>
      <w:lvlJc w:val="left"/>
      <w:pPr>
        <w:ind w:left="5040" w:hanging="360"/>
      </w:pPr>
    </w:lvl>
    <w:lvl w:ilvl="7" w:tplc="21517890" w:tentative="1">
      <w:start w:val="1"/>
      <w:numFmt w:val="lowerLetter"/>
      <w:lvlText w:val="%8."/>
      <w:lvlJc w:val="left"/>
      <w:pPr>
        <w:ind w:left="5760" w:hanging="360"/>
      </w:pPr>
    </w:lvl>
    <w:lvl w:ilvl="8" w:tplc="21517890" w:tentative="1">
      <w:start w:val="1"/>
      <w:numFmt w:val="lowerRoman"/>
      <w:lvlText w:val="%9."/>
      <w:lvlJc w:val="right"/>
      <w:pPr>
        <w:ind w:left="6480" w:hanging="180"/>
      </w:pPr>
    </w:lvl>
  </w:abstractNum>
  <w:abstractNum w:abstractNumId="85065730">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32394680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4938296">
    <w:multiLevelType w:val="hybridMultilevel"/>
    <w:lvl w:ilvl="0" w:tplc="71252140">
      <w:start w:val="1"/>
      <w:numFmt w:val="decimal"/>
      <w:lvlText w:val="%1."/>
      <w:lvlJc w:val="left"/>
      <w:pPr>
        <w:ind w:left="720" w:hanging="360"/>
      </w:pPr>
    </w:lvl>
    <w:lvl w:ilvl="1" w:tplc="71252140" w:tentative="1">
      <w:start w:val="1"/>
      <w:numFmt w:val="lowerLetter"/>
      <w:lvlText w:val="%2."/>
      <w:lvlJc w:val="left"/>
      <w:pPr>
        <w:ind w:left="1440" w:hanging="360"/>
      </w:pPr>
    </w:lvl>
    <w:lvl w:ilvl="2" w:tplc="71252140" w:tentative="1">
      <w:start w:val="1"/>
      <w:numFmt w:val="lowerRoman"/>
      <w:lvlText w:val="%3."/>
      <w:lvlJc w:val="right"/>
      <w:pPr>
        <w:ind w:left="2160" w:hanging="180"/>
      </w:pPr>
    </w:lvl>
    <w:lvl w:ilvl="3" w:tplc="71252140" w:tentative="1">
      <w:start w:val="1"/>
      <w:numFmt w:val="decimal"/>
      <w:lvlText w:val="%4."/>
      <w:lvlJc w:val="left"/>
      <w:pPr>
        <w:ind w:left="2880" w:hanging="360"/>
      </w:pPr>
    </w:lvl>
    <w:lvl w:ilvl="4" w:tplc="71252140" w:tentative="1">
      <w:start w:val="1"/>
      <w:numFmt w:val="lowerLetter"/>
      <w:lvlText w:val="%5."/>
      <w:lvlJc w:val="left"/>
      <w:pPr>
        <w:ind w:left="3600" w:hanging="360"/>
      </w:pPr>
    </w:lvl>
    <w:lvl w:ilvl="5" w:tplc="71252140" w:tentative="1">
      <w:start w:val="1"/>
      <w:numFmt w:val="lowerRoman"/>
      <w:lvlText w:val="%6."/>
      <w:lvlJc w:val="right"/>
      <w:pPr>
        <w:ind w:left="4320" w:hanging="180"/>
      </w:pPr>
    </w:lvl>
    <w:lvl w:ilvl="6" w:tplc="71252140" w:tentative="1">
      <w:start w:val="1"/>
      <w:numFmt w:val="decimal"/>
      <w:lvlText w:val="%7."/>
      <w:lvlJc w:val="left"/>
      <w:pPr>
        <w:ind w:left="5040" w:hanging="360"/>
      </w:pPr>
    </w:lvl>
    <w:lvl w:ilvl="7" w:tplc="71252140" w:tentative="1">
      <w:start w:val="1"/>
      <w:numFmt w:val="lowerLetter"/>
      <w:lvlText w:val="%8."/>
      <w:lvlJc w:val="left"/>
      <w:pPr>
        <w:ind w:left="5760" w:hanging="360"/>
      </w:pPr>
    </w:lvl>
    <w:lvl w:ilvl="8" w:tplc="71252140" w:tentative="1">
      <w:start w:val="1"/>
      <w:numFmt w:val="lowerRoman"/>
      <w:lvlText w:val="%9."/>
      <w:lvlJc w:val="right"/>
      <w:pPr>
        <w:ind w:left="6480" w:hanging="180"/>
      </w:pPr>
    </w:lvl>
  </w:abstractNum>
  <w:abstractNum w:abstractNumId="84938295">
    <w:multiLevelType w:val="hybridMultilevel"/>
    <w:lvl w:ilvl="0" w:tplc="755102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938295">
    <w:abstractNumId w:val="84938295"/>
  </w:num>
  <w:num w:numId="84938296">
    <w:abstractNumId w:val="84938296"/>
  </w:num>
  <w:num w:numId="323946805">
    <w:abstractNumId w:val="323946805"/>
  </w:num>
  <w:num w:numId="85065730">
    <w:abstractNumId w:val="85065730"/>
  </w:num>
  <w:num w:numId="84938297">
    <w:abstractNumId w:val="84938297"/>
  </w:num>
  <w:num w:numId="84938298">
    <w:abstractNumId w:val="84938298"/>
  </w:num>
  <w:num w:numId="84938299">
    <w:abstractNumId w:val="84938299"/>
  </w:num>
  <w:num w:numId="84938300">
    <w:abstractNumId w:val="84938300"/>
  </w:num>
  <w:num w:numId="84938301">
    <w:abstractNumId w:val="84938301"/>
  </w:num>
  <w:num w:numId="146471612">
    <w:abstractNumId w:val="146471612"/>
  </w:num>
  <w:num w:numId="719176628">
    <w:abstractNumId w:val="719176628"/>
  </w:num>
  <w:num w:numId="158628050">
    <w:abstractNumId w:val="158628050"/>
  </w:num>
  <w:num w:numId="137909157">
    <w:abstractNumId w:val="137909157"/>
  </w:num>
  <w:num w:numId="147293085">
    <w:abstractNumId w:val="1472930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45975701" Type="http://schemas.openxmlformats.org/officeDocument/2006/relationships/numbering" Target="numbering.xml"/><Relationship Id="rId64257120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