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1818623" w:name="document"/>
    <w:bookmarkEnd w:id="71818623"/>
    <w:p/>
    <w:p>
      <w:pPr>
        <w:widowControl w:val="on"/>
        <w:pBdr/>
        <w:spacing w:before="0" w:after="280" w:line="240" w:lineRule="auto"/>
        <w:ind w:left="0" w:right="0"/>
        <w:jc w:val="left"/>
      </w:pPr>
      <w:r>
        <w:rPr>
          <w:rFonts w:ascii="Arial" w:hAnsi="Arial" w:eastAsia="Arial" w:cs="Arial"/>
          <w:color w:val="363A40"/>
          <w:sz w:val="24"/>
          <w:szCs w:val="24"/>
        </w:rPr>
        <w:t xml:space="preserve">Dokument-ID: 866463 | Martin Klemm - Stanislava
Doganova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Berufung (Verfahrensmängel, § 496 Abs 1 Z 1) – Nicht
vollständige Erledigung der Sachanträge</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vorliegende Muster einer Berufungsschrift befasst sich mit dem
Verfahrensmangel der nicht vollständigen Erledigung der Sachanträge
einer der Streitparteien. Dieser Verfahrensmangel liegt vor, wenn
sich das Gericht über einen geltend gemachten Anspruch bzw
Teilanspruch oder eine allenfalls geltend gemachte Gegenforderung
nicht abspricht, ohne das Verfahren entsprechend einzuschränken.
Für eine vollständige im Zusammenhang aller anderen Berufungsgründe
ausgeführte Berufung siehe die Muster in Reg 4 Kap 1.1 zu den
Grundmustern zur Berufung.</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Martin Klemm,
LL.M.</w:t>
      </w:r>
      <w:r>
        <w:rPr>
          <w:rFonts w:ascii="Arial" w:hAnsi="Arial" w:eastAsia="Arial" w:cs="Arial"/>
          <w:color w:val="000000"/>
          <w:sz w:val="20"/>
          <w:szCs w:val="20"/>
        </w:rPr>
        <w:br/>
        <w:t xml:space="preserve">Wiedner Hauptstraße 120/5.1</w:t>
      </w:r>
      <w:r>
        <w:rPr>
          <w:rFonts w:ascii="Arial" w:hAnsi="Arial" w:eastAsia="Arial" w:cs="Arial"/>
          <w:color w:val="000000"/>
          <w:sz w:val="20"/>
          <w:szCs w:val="20"/>
        </w:rPr>
        <w:br/>
        <w:t xml:space="preserve">1050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Handelsgericht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11.09.2016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Karl Kläger</w:t>
            </w:r>
            <w:r>
              <w:rPr>
                <w:rFonts w:ascii="Arial" w:hAnsi="Arial" w:eastAsia="Arial" w:cs="Arial"/>
                <w:color w:val="000000"/>
                <w:position w:val="0"/>
                <w:sz w:val="20"/>
                <w:szCs w:val="20"/>
                <w:shd w:val="clear" w:color="auto" w:fill="FFFFFF"/>
              </w:rPr>
              <w:br/>
              <w:t xml:space="preserve">Neue Gasse 10</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Martin Klemm, LL.M.</w:t>
            </w:r>
            <w:r>
              <w:rPr>
                <w:rFonts w:ascii="Arial" w:hAnsi="Arial" w:eastAsia="Arial" w:cs="Arial"/>
                <w:color w:val="000000"/>
                <w:position w:val="0"/>
                <w:sz w:val="20"/>
                <w:szCs w:val="20"/>
                <w:shd w:val="clear" w:color="auto" w:fill="FFFFFF"/>
              </w:rPr>
              <w:br/>
              <w:t xml:space="preserve">Wiedner Hauptstraße 120/5.1</w:t>
            </w:r>
            <w:r>
              <w:rPr>
                <w:rFonts w:ascii="Arial" w:hAnsi="Arial" w:eastAsia="Arial" w:cs="Arial"/>
                <w:color w:val="000000"/>
                <w:position w:val="0"/>
                <w:sz w:val="20"/>
                <w:szCs w:val="20"/>
                <w:shd w:val="clear" w:color="auto" w:fill="FFFFFF"/>
              </w:rPr>
              <w:br/>
              <w:t xml:space="preserve">1050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Kurt KFZ-Reparatur GmbH</w:t>
            </w:r>
            <w:r>
              <w:rPr>
                <w:rFonts w:ascii="Arial" w:hAnsi="Arial" w:eastAsia="Arial" w:cs="Arial"/>
                <w:color w:val="000000"/>
                <w:position w:val="0"/>
                <w:sz w:val="20"/>
                <w:szCs w:val="20"/>
                <w:shd w:val="clear" w:color="auto" w:fill="FFFFFF"/>
              </w:rPr>
              <w:br/>
              <w:t xml:space="preserve">Große Straße 143</w:t>
            </w:r>
            <w:r>
              <w:rPr>
                <w:rFonts w:ascii="Arial" w:hAnsi="Arial" w:eastAsia="Arial" w:cs="Arial"/>
                <w:color w:val="000000"/>
                <w:position w:val="0"/>
                <w:sz w:val="20"/>
                <w:szCs w:val="20"/>
                <w:shd w:val="clear" w:color="auto" w:fill="FFFFFF"/>
              </w:rPr>
              <w:br/>
              <w:t xml:space="preserve">1220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Gustav Glücklich</w:t>
            </w:r>
            <w:r>
              <w:rPr>
                <w:rFonts w:ascii="Arial" w:hAnsi="Arial" w:eastAsia="Arial" w:cs="Arial"/>
                <w:color w:val="000000"/>
                <w:position w:val="0"/>
                <w:sz w:val="20"/>
                <w:szCs w:val="20"/>
                <w:shd w:val="clear" w:color="auto" w:fill="FFFFFF"/>
              </w:rPr>
              <w:br/>
              <w:t xml:space="preserve">Bürostraße 17/4</w:t>
            </w:r>
            <w:r>
              <w:rPr>
                <w:rFonts w:ascii="Arial" w:hAnsi="Arial" w:eastAsia="Arial" w:cs="Arial"/>
                <w:color w:val="000000"/>
                <w:position w:val="0"/>
                <w:sz w:val="20"/>
                <w:szCs w:val="20"/>
                <w:shd w:val="clear" w:color="auto" w:fill="FFFFFF"/>
              </w:rPr>
              <w:br/>
              <w:t xml:space="preserve">1070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3.000,– (Berufungsinteresse)</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Berufung</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wurde mit Urteil des
Handelsgerichts Wien vom 15.08.2016, dem Rechtsvertreter der
klagenden Partei bereitgestellt am 15.08.2016, der Klage
stattgegeben, jedoch über den gestellten Antrag auf Verhängung
einer Mutwillensstrafe nicht abgesprochen. Durch seinen
ausgewiesenen Vertreter erhebt die klagende Partei binnen offener
Frist folgende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Berufung</w:t>
      </w:r>
    </w:p>
    <w:p>
      <w:pPr>
        <w:widowControl w:val="on"/>
        <w:pBdr/>
        <w:spacing w:before="140" w:after="240" w:line="288" w:lineRule="auto"/>
        <w:ind w:left="0" w:right="0"/>
        <w:jc w:val="left"/>
      </w:pPr>
      <w:r>
        <w:rPr>
          <w:rFonts w:ascii="Arial" w:hAnsi="Arial" w:eastAsia="Arial" w:cs="Arial"/>
          <w:color w:val="000000"/>
          <w:sz w:val="20"/>
          <w:szCs w:val="20"/>
        </w:rPr>
        <w:t xml:space="preserve">an das Oberlandesgericht Wien als Berufungsgericht. Die genannte
Entscheidung wird in vollem Umfang wegen Verfahrensmängeln, nämlich
der nicht vollständigen Erledigung der Sachanträge,
angefochten.</w:t>
      </w:r>
    </w:p>
    <w:p>
      <w:pPr>
        <w:widowControl w:val="on"/>
        <w:pBdr/>
        <w:spacing w:before="140" w:after="240" w:line="288" w:lineRule="auto"/>
        <w:ind w:left="0" w:right="0"/>
        <w:jc w:val="left"/>
      </w:pPr>
      <w:r>
        <w:rPr>
          <w:rFonts w:ascii="Arial" w:hAnsi="Arial" w:eastAsia="Arial" w:cs="Arial"/>
          <w:color w:val="000000"/>
          <w:sz w:val="20"/>
          <w:szCs w:val="20"/>
        </w:rPr>
        <w:t xml:space="preserve">Mit ihrer Klage vom 12.01.2016 begehrte die klagende Partei von
der beklagten Partei die Zahlung von EUR 11.416,20 samt
4 % Zinsen pa seit dem 20.11.2015 aus dem Rechtsgrund des
Schadenersatzes. Die beklagte Partei habe die durch die klagende
Partei beauftragte Reparatur, durch den ihr zuzurechnenden
Mitarbeiter, Herrn Ing. Ludwig Leider, mangelhaft durchgeführt. Der
Kläger wies Ing. Leider bei einem Werkstatttermin am 28. Oktober
2015 auf ein seltsam klopfendes Geräusch seines Porsche 911 beim
Starten hin. Ing. Leider vermeinte, dass dies mit einer
fehlerhaften Einstellung der Startautomatik zusammenhing, las die
entsprechenden Fehlermeldungen aus dem Bordcomputer des Fahrzeugs
aus und korrigierte – behaupteter Weise – die fehlerhaften
Einstellungen. Tatsächlich war es jedoch so, dass dieser die
Einstellungen völlig unsachgemäß verstellte, so dass es in der
Folge zu einem Motorschaden an dem Porsche 911 kam, welcher in
Reparaturkosten in Höhe der Klagsforderung für die klagende Partei
resultierten.</w:t>
      </w:r>
    </w:p>
    <w:p>
      <w:pPr>
        <w:widowControl w:val="on"/>
        <w:pBdr/>
        <w:spacing w:before="140" w:after="240" w:line="288" w:lineRule="auto"/>
        <w:ind w:left="0" w:right="0"/>
        <w:jc w:val="left"/>
      </w:pPr>
      <w:r>
        <w:rPr>
          <w:rFonts w:ascii="Arial" w:hAnsi="Arial" w:eastAsia="Arial" w:cs="Arial"/>
          <w:color w:val="000000"/>
          <w:sz w:val="20"/>
          <w:szCs w:val="20"/>
        </w:rPr>
        <w:t xml:space="preserve">Obwohl Ing. Leider namens der beklagten Partei die unsachgemäße
Veränderung der Einstellungen zugestand und die klagende Partei der
beklagten Partei eine Bestätigung des Herstellers vorlegte, wonach
die durch die beklagte Partei erfolgte „Korrektur“ völlig
unsachgemäß erfolgte und für den entstandenen Motorschaden
verantwortlich war, verweigerte der Beklagte jegliche Zahlung.
Dies, ohne dafür einen Grund angeben zu können.</w:t>
      </w:r>
    </w:p>
    <w:p>
      <w:pPr>
        <w:widowControl w:val="on"/>
        <w:pBdr/>
        <w:spacing w:before="140" w:after="240" w:line="288" w:lineRule="auto"/>
        <w:ind w:left="0" w:right="0"/>
        <w:jc w:val="left"/>
      </w:pPr>
      <w:r>
        <w:rPr>
          <w:rFonts w:ascii="Arial" w:hAnsi="Arial" w:eastAsia="Arial" w:cs="Arial"/>
          <w:color w:val="000000"/>
          <w:sz w:val="20"/>
          <w:szCs w:val="20"/>
        </w:rPr>
        <w:t xml:space="preserve">In der Folge brachte der Kläger Mahnklage gegen den Beklagten
ein. Trotz der völlig klaren Sach- und Rechtslage beeinspruchte die
beklagte Partei den aufgrund der Mahnklage erlassenen
Zahlungsbefehl und bestritt die Klagsforderung. Der Beklagte konnte
nicht im Mindesten auch nur ein treffendes Argument anführen, warum
er keine Ersatzpflicht treffen würde. Dennoch führte er das
vorliegende Verfahren ab und bestritt das Klagebegehren fast schon
unsubstantiiert, mit Ausflüchten, die jeglicher Denklogik
widersprachen.</w:t>
      </w:r>
    </w:p>
    <w:p>
      <w:pPr>
        <w:widowControl w:val="on"/>
        <w:pBdr/>
        <w:spacing w:before="140" w:after="240" w:line="288" w:lineRule="auto"/>
        <w:ind w:left="0" w:right="0"/>
        <w:jc w:val="left"/>
      </w:pPr>
      <w:r>
        <w:rPr>
          <w:rFonts w:ascii="Arial" w:hAnsi="Arial" w:eastAsia="Arial" w:cs="Arial"/>
          <w:color w:val="000000"/>
          <w:sz w:val="20"/>
          <w:szCs w:val="20"/>
        </w:rPr>
        <w:t xml:space="preserve">In der Folge stellte der Kläger – neben der Aufrechterhaltung
des Klagsantrags – zusätzlich den Antrag auf Verhängung einer
Mutwillensstrafe gem § 408 Abs 1 ZPO über die beklagte
Partei. Die Verhandlung wurde in der Folge geschlossen und das
nunmehr bekämpfte Urteil schriftlich ausgefertigt. Mit dem
bekämpften Urteil wurde der Klage zwar vollinhaltlich stattgegeben,
über den Antrag auf Verhängung der Mutwillensstrafe sprach das
Erstgericht jedoch nicht ab.</w:t>
      </w:r>
    </w:p>
    <w:p>
      <w:pPr>
        <w:widowControl w:val="on"/>
        <w:pBdr/>
        <w:spacing w:before="140" w:after="240" w:line="288" w:lineRule="auto"/>
        <w:ind w:left="0" w:right="0"/>
        <w:jc w:val="left"/>
      </w:pPr>
      <w:r>
        <w:rPr>
          <w:rFonts w:ascii="Arial" w:hAnsi="Arial" w:eastAsia="Arial" w:cs="Arial"/>
          <w:color w:val="000000"/>
          <w:sz w:val="20"/>
          <w:szCs w:val="20"/>
        </w:rPr>
        <w:t xml:space="preserve">Gegen dieses Urteil richtet sich die vorliegende Berufung wegen
unvollständiger Erledigung der Sachanträge iSd § 496
Abs 1 Z 1 ZPO. Die Stellung des Antrags auf Verhängung
einer Mutwillensstrafe gem § 408 Abs 1 ZPO erfolgte
ordnungsgemäß, gesetzmäßig und rechtsrichtig und wurde auch
entsprechend protokolliert. Dennoch erging durch das Erstgericht
keine Entscheidung hinsichtlich dieses Sachantrages.</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stellt daher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das Berufungsgericht möge die angefochtene Entscheidung
dahingehend ergänzen, dass neben der Klagsstattgebung auch dem
Antrag auf Verhängung einer Mutwillensstrafe gem § 408
Abs 1 ZPO über die beklagte Partei stattgegeben werde, in
eventu, die Rechtssache zur neuerlichen Verhandlung und
Entscheidung an die erste Instanz zurückzuverweisen, sowie
jedenfalls die beklagte Partei zum Ersatz der Verfahrenskosten
verpflichten.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Karl Kläger</w:t>
      </w:r>
    </w:p>
    <w:p>
      <w:pPr>
        <w:widowControl w:val="on"/>
        <w:pBdr/>
        <w:spacing w:before="140" w:after="240" w:line="288" w:lineRule="auto"/>
        <w:ind w:left="0" w:right="0"/>
        <w:jc w:val="left"/>
      </w:pPr>
      <w:r>
        <w:rPr>
          <w:rFonts w:ascii="Arial" w:hAnsi="Arial" w:eastAsia="Arial" w:cs="Arial"/>
          <w:b/>
          <w:bCs/>
          <w:color w:val="000000"/>
          <w:sz w:val="20"/>
          <w:szCs w:val="20"/>
        </w:rPr>
        <w:t xml:space="preserve">Kostenverzeichnis:</w:t>
      </w:r>
      <w:r>
        <w:rPr>
          <w:rFonts w:ascii="Arial" w:hAnsi="Arial" w:eastAsia="Arial" w:cs="Arial"/>
          <w:color w:val="000000"/>
          <w:sz w:val="20"/>
          <w:szCs w:val="20"/>
        </w:rPr>
        <w:br/>
        <w:t xml:space="preserve">Berufung TP 3B</w:t>
      </w:r>
      <w:r>
        <w:rPr>
          <w:rFonts w:ascii="Arial" w:hAnsi="Arial" w:eastAsia="Arial" w:cs="Arial"/>
          <w:color w:val="000000"/>
          <w:sz w:val="20"/>
          <w:szCs w:val="20"/>
        </w:rPr>
        <w:br/>
        <w:t xml:space="preserve">150 % Einheitssatz</w:t>
      </w:r>
      <w:r>
        <w:rPr>
          <w:rFonts w:ascii="Arial" w:hAnsi="Arial" w:eastAsia="Arial" w:cs="Arial"/>
          <w:color w:val="000000"/>
          <w:sz w:val="20"/>
          <w:szCs w:val="20"/>
        </w:rPr>
        <w:br/>
        <w:t xml:space="preserve">Erhöhungsbeitrag (ERV)</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Zur Berufung im Allgemeinen, zur Gestaltung des Rubrums und zur
formalen Einleitung siehe das Grundmuster zur Berufung in Reg 4
Kap 1.1.</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Mit einer Berufung gem § 496 Abs 1 Z 1 ZPO rügt der
Berufungswerber eine nicht vollständige Erledigung der Sachanträge.
Dies umfasst einerseits das Klagebegehren selbst, allfällige
Zwischenfeststellungsanträge, Aufrechnungseinreden und – wie im
vorliegenden Fall – den Antrag auf Verhängung einer
Mutwillensstrafe gem § 408 Abs 1 ZPO. Allfällige nicht
erledigte prozessuale Anträge können allenfalls gem § 496
Abs 1 Z 2 ZPO moniert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Neben der genannten Berufung kann auch innerhalb von 14 Tagen nach
Zustellung des Urteils auch ein Ergänzungsantrag gem § 423 ZPO
eingebracht werden. Berufung und Antrag können allenfalls verbunden
werden, wobei aufgrund der unterschiedlichen Fristen die beiden
Rechtsbehelfe praktischerweise getrennt erfolgen
(</w:t>
      </w:r>
      <w:r>
        <w:rPr>
          <w:rFonts w:ascii="Arial" w:hAnsi="Arial" w:eastAsia="Arial" w:cs="Arial"/>
          <w:i/>
          <w:iCs/>
          <w:color w:val="000000"/>
          <w:sz w:val="20"/>
          <w:szCs w:val="20"/>
        </w:rPr>
        <w:t xml:space="preserve">Pochmarski/Lichtenberg</w:t>
      </w:r>
      <w:r>
        <w:rPr>
          <w:rFonts w:ascii="Arial" w:hAnsi="Arial" w:eastAsia="Arial" w:cs="Arial"/>
          <w:color w:val="000000"/>
          <w:sz w:val="20"/>
          <w:szCs w:val="20"/>
        </w:rPr>
        <w:t xml:space="preserve">, Die Berufung in der
ZPO</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60). Sollte ein Ergänzungsantrag gem § 423
ZPO eingebracht werden, empfiehlt es sich, einen
Unterbrechungsantrag gem § 485 ZPO zu stellen. Diesfalls würde
die Verhandlung über die Berufung bis zur Entscheidung über die
Ergänzung ausgesetzt werden, bis entweder das Ergänzungsurteil ohne
Berufung in Rechtskraft erwachsen ist oder gegen dieses eine
Berufung eingebracht wurde. Im letzteren Fall wären die
Verhandlungen über beide Berufungen zu verbinden.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3.000,– (Berufungsinteresse)</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Da ja meist über einen (Groß-)Teil des Anspruchs entschieden wurde,
beschränkt sich das Berufungsinteresse nur auf den unerledigten
Teil. Sofern dieser durch Berechnung eruiert werden kann, ergibt
sich das Berufungsinteresse aus dieser (zB ein Anspruch in Höhe von
EUR 30.000,– wird eingeklagt, aber nur über einen Anspruch in
Höhe von EUR 25.000,– abgesprochen; daraus folgt ein
Berufungsinteresse von EUR 5.000,–). War dieser jedoch bis
dato nicht bewertet, muss dies im Zuge der Berufung erfolgen und
ist dieser allenfalls frei zu bewerten. Im vorliegenden Fall wurde
das Interesse der Mutwillensstrafe mit EUR 3.000,–
bewertet.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Wichtig ist in diesem Zusammenhang festzuhalten, dass – sofern die
Tatsache, dass über einen Sachantrag durch das Gericht nicht
abgesprochen wurde, nicht aufgegriffen wird – dieser endgültig aus
dem Verfahren ausscheidet. Hinsichtlich dieses Anspruchs liegt
sohin weder eine res iudicata, noch – mit diesem Zeitpunkt – eine,
die Verjährung hemmende, Streitanhängigkeit mehr vor (vgl
</w:t>
      </w:r>
      <w:r>
        <w:rPr>
          <w:rFonts w:ascii="Arial" w:hAnsi="Arial" w:eastAsia="Arial" w:cs="Arial"/>
          <w:i/>
          <w:iCs/>
          <w:color w:val="000000"/>
          <w:sz w:val="20"/>
          <w:szCs w:val="20"/>
        </w:rPr>
        <w:t xml:space="preserve">Pochmarski/Lichtenberg</w:t>
      </w:r>
      <w:r>
        <w:rPr>
          <w:rFonts w:ascii="Arial" w:hAnsi="Arial" w:eastAsia="Arial" w:cs="Arial"/>
          <w:color w:val="000000"/>
          <w:sz w:val="20"/>
          <w:szCs w:val="20"/>
        </w:rPr>
        <w:t xml:space="preserve">, Die Berufung in der
ZPO</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61).</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der Folge brachte der Kläger Mahnklage gegen den Beklagten
ein. Trotz der völlig klaren Sach- und Rechtslage beeinspruchte die
beklagte Partei den aufgrund der Mahnklage erlassenen
Zahlungsbefehl und bestritt die Klagsforderung. Der Beklagte konnte
nicht im Mindesten auch nur ein treffendes Argument anführen, warum
er keine Ersatzpflicht treffen würde. Dennoch führte er das
vorliegende Verfahren ab und bestritt das Klagebegehren fast schon
unsubstantiiert, mit Ausflüchten, die jeglicher Denklogik
widersprachen.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der Folge stellte der Kläger – neben der Aufrechterhaltung
des Klagsantrags – zusätzlich den Antrag auf Verhängung einer
Mutwillensstrafe gem § 408 Abs 1 ZPO über die beklagte
Partei. Die Verhandlung wurde in der Folge geschlossen und das
nunmehr bekämpfte Urteil schriftlich ausgefertigt. Mit dem
bekämpften Urteil wurde der Klage zwar vollinhaltlich stattgegeben,
über den Antrag auf Verhängung der Mutwillensstrafe sprach das
Erstgericht jedoch nicht ab.</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Neben einer klaren Beschreibung des nicht bzw nicht vollständig
erledigten Sachantrages samt der Anführung von dessen
ordnungsgemäßer Protokollierung, empfiehlt es sich auf jeden Fall
auch gleich erneut auszuführen, warum dem Sachantrag Folge zu geben
ist. Grundsätzlich ist zwar davon auszugehen, dass die
Statthaftigkeit des Antrags bereits im Verfahren erster Instanz
entsprechend ausgeführt wurde – sonst läge in einer nunmehr
erfolgenden Ausführung auch ein Verstoß gegen das Neuerungsverbot
gem § 482 Abs 2 ZPO vor – es ist jedoch sinnvoll, dem
Berufungsgericht diese Argumente nochmals unmittelbar zu
schildern.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Gegen dieses Urteil richtet sich die vorliegende Berufung wegen
unvollständiger Erledigung der Sachanträge iSd § 496
Abs 1 Z 1 ZPO. Die Stellung des Antrags auf Verhängung
einer Mutwillensstrafe gem § 408 Abs 1 ZPO erfolgte
ordnungsgemäß, gesetzmäßig und rechtsrichtig und wurde auch
entsprechend protokolliert. Dennoch erging durch das Erstgericht
keine Entscheidung hinsichtlich dieses Sachantrages.</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Schließlich ist der Berufungsgrund nochmals auszuführen und das
Vorliegen des unerledigten Sachantrages zu schildern.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stellt daher 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Antrag,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Berufungsgericht möge die angefochtene Entscheidung
dahingehend ergänzen, dass neben der Klagsstattgebung auch dem
Antrag auf Verhängung einer Mutwillensstrafe gem § 408
Abs 1 ZPO über die beklagte Partei stattgegeben werde, in
eventu, die Rechtssache zur neuerlichen Verhandlung und
Entscheidung an die erste Instanz zurückzuverweisen, sowie
jedenfalls die beklagte Partei zum Ersatz der Verfahrenskosten
verpflichten.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Gem § 496 Abs 1 Z 1 ZPO hat das Berufungsgericht bei
nicht vollständiger Erledigung das Urteil aufzuheben und zur
neuerlichen Urteilsfällung an die erste Instanz zurückzuverweisen.
Da aber häufig – wie wohl auch im vorliegenden Fall anzunehmen ist
– die für eine Stattgebung des Sachantrages erforderlichen
Feststellungen und Aktinhalte bereits vorliegen, kann das Gericht
auch reformatorisch entscheiden (§ 496 Abs 3 ZPO), was
aus praktischen Gründen primär beantragt werden sollte.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Kostenverzeichnis:</w:t>
            </w:r>
            <w:r>
              <w:rPr>
                <w:rFonts w:ascii="Arial" w:hAnsi="Arial" w:eastAsia="Arial" w:cs="Arial"/>
                <w:color w:val="000000"/>
                <w:position w:val="0"/>
                <w:sz w:val="20"/>
                <w:szCs w:val="20"/>
                <w:shd w:val="clear" w:color="auto" w:fill="FFFFFF"/>
              </w:rPr>
              <w:br/>
              <w:t xml:space="preserve">Berufung TP 3B</w:t>
            </w:r>
            <w:r>
              <w:rPr>
                <w:rFonts w:ascii="Arial" w:hAnsi="Arial" w:eastAsia="Arial" w:cs="Arial"/>
                <w:color w:val="000000"/>
                <w:position w:val="0"/>
                <w:sz w:val="20"/>
                <w:szCs w:val="20"/>
                <w:shd w:val="clear" w:color="auto" w:fill="FFFFFF"/>
              </w:rPr>
              <w:br/>
              <w:t xml:space="preserve">150 % Einheitssatz</w:t>
            </w:r>
            <w:r>
              <w:rPr>
                <w:rFonts w:ascii="Arial" w:hAnsi="Arial" w:eastAsia="Arial" w:cs="Arial"/>
                <w:color w:val="000000"/>
                <w:position w:val="0"/>
                <w:sz w:val="20"/>
                <w:szCs w:val="20"/>
                <w:shd w:val="clear" w:color="auto" w:fill="FFFFFF"/>
              </w:rPr>
              <w:br/>
              <w:t xml:space="preserve">Erhöhungsbeitrag (ERV)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Da das Berufungsgericht allenfalls ohne Durchführung einer
mündlichen Verhandlung in der Sache selbst entscheiden kann, ist
unbedingt ein Kostenverzeichnis beizufügen.</w:t>
      </w:r>
    </w:p>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Eine nur aus unzulässigen Rechtsmittelgründen erhobene Berufung ist
einer gesetzlich unzulässigen Berufung gleichzustellen (RIS-Justiz
RS0041861).</w:t>
      </w:r>
    </w:p>
    <w:p>
      <w:pPr>
        <w:widowControl w:val="on"/>
        <w:pBdr/>
        <w:spacing w:before="140" w:after="240" w:line="288" w:lineRule="auto"/>
        <w:ind w:left="0" w:right="0"/>
        <w:jc w:val="left"/>
      </w:pPr>
      <w:r>
        <w:rPr>
          <w:rFonts w:ascii="Arial" w:hAnsi="Arial" w:eastAsia="Arial" w:cs="Arial"/>
          <w:b/>
          <w:bCs/>
          <w:color w:val="000000"/>
          <w:sz w:val="20"/>
          <w:szCs w:val="20"/>
        </w:rPr>
        <w:t xml:space="preserve">11</w:t>
      </w:r>
      <w:r>
        <w:rPr>
          <w:rFonts w:ascii="Arial" w:hAnsi="Arial" w:eastAsia="Arial" w:cs="Arial"/>
          <w:color w:val="000000"/>
          <w:sz w:val="20"/>
          <w:szCs w:val="20"/>
        </w:rPr>
        <w:br/>
        <w:t xml:space="preserve">Wurde gegen die Nichterledigung eines Sachantrages (hier der
einredeweisen Geltendmachung einer Gegenforderung) weder durch
Ergänzungsantrag nach § 423 ZPO noch durch Berufung nach
§ 496 Abs 1 Z 1 ZPO Abhilfe gesucht, scheidet dieser
Anspruch aus dem Verfahren aus (wie SZ 28/4) (RIS-Justiz
RS0041490).</w:t>
      </w:r>
    </w:p>
    <w:p>
      <w:pPr>
        <w:widowControl w:val="on"/>
        <w:pBdr/>
        <w:spacing w:before="140" w:after="240" w:line="288" w:lineRule="auto"/>
        <w:ind w:left="0" w:right="0"/>
        <w:jc w:val="left"/>
      </w:pPr>
      <w:r>
        <w:rPr>
          <w:rFonts w:ascii="Arial" w:hAnsi="Arial" w:eastAsia="Arial" w:cs="Arial"/>
          <w:b/>
          <w:bCs/>
          <w:color w:val="000000"/>
          <w:sz w:val="20"/>
          <w:szCs w:val="20"/>
        </w:rPr>
        <w:t xml:space="preserve">12</w:t>
      </w:r>
      <w:r>
        <w:rPr>
          <w:rFonts w:ascii="Arial" w:hAnsi="Arial" w:eastAsia="Arial" w:cs="Arial"/>
          <w:color w:val="000000"/>
          <w:sz w:val="20"/>
          <w:szCs w:val="20"/>
        </w:rPr>
        <w:br/>
        <w:t xml:space="preserve">Die unvollständige Erledigung der Rekursanträge stellt einen
Verfahrensmangel dar, der in analoger Anwendung des § 496
Abs 1 Z 1 ZPO mit Rekurs geltend gemacht werden kann
(RIS-Justiz RS0041471).</w:t>
      </w:r>
    </w:p>
    <w:p>
      <w:pPr>
        <w:widowControl w:val="on"/>
        <w:pBdr/>
        <w:spacing w:before="140" w:after="240" w:line="288" w:lineRule="auto"/>
        <w:ind w:left="0" w:right="0"/>
        <w:jc w:val="left"/>
      </w:pPr>
      <w:r>
        <w:rPr>
          <w:rFonts w:ascii="Arial" w:hAnsi="Arial" w:eastAsia="Arial" w:cs="Arial"/>
          <w:b/>
          <w:bCs/>
          <w:color w:val="000000"/>
          <w:sz w:val="20"/>
          <w:szCs w:val="20"/>
        </w:rPr>
        <w:t xml:space="preserve">13</w:t>
      </w:r>
      <w:r>
        <w:rPr>
          <w:rFonts w:ascii="Arial" w:hAnsi="Arial" w:eastAsia="Arial" w:cs="Arial"/>
          <w:color w:val="000000"/>
          <w:sz w:val="20"/>
          <w:szCs w:val="20"/>
        </w:rPr>
        <w:br/>
        <w:t xml:space="preserve">Wenn das Klagebegehren nicht vollständig erledigt wurde, kann dies
mit Berufung gerügt werden, ohne dass ein Ergänzungsurteil
beantragt werden müsste. (SZ 13/65) (RIS-Justiz RS0041360).</w:t>
      </w:r>
    </w:p>
    <w:p>
      <w:pPr>
        <w:widowControl w:val="on"/>
        <w:pBdr/>
        <w:spacing w:before="140" w:after="240" w:line="288" w:lineRule="auto"/>
        <w:ind w:left="0" w:right="0"/>
        <w:jc w:val="left"/>
      </w:pPr>
      <w:r>
        <w:rPr>
          <w:rFonts w:ascii="Arial" w:hAnsi="Arial" w:eastAsia="Arial" w:cs="Arial"/>
          <w:b/>
          <w:bCs/>
          <w:color w:val="000000"/>
          <w:sz w:val="20"/>
          <w:szCs w:val="20"/>
        </w:rPr>
        <w:t xml:space="preserve">14</w:t>
      </w:r>
      <w:r>
        <w:rPr>
          <w:rFonts w:ascii="Arial" w:hAnsi="Arial" w:eastAsia="Arial" w:cs="Arial"/>
          <w:color w:val="000000"/>
          <w:sz w:val="20"/>
          <w:szCs w:val="20"/>
        </w:rPr>
        <w:br/>
        <w:t xml:space="preserve">In der Nichterledigung der vom Beklagten geltend gemachten
Gegenforderung, die er in der Berufung nicht gerügt hat, ist nicht
eine Nichtigkeit iSd § 477 Abs 1 Z 9 ZPO, sondern
nur eine Mangelhaftigkeit des erstinstanzlichen Verfahrens nach
§ 496 Abs 1 Z 1 ZPO zu erblicken. Ohne Rüge ist es
dem Berufungsgericht verwehrt, von Amts wegen die Nichterledigung
dieses Sachantrages wahrzunehmen (RIS-Justiz RS0041486).</w:t>
      </w:r>
    </w:p>
    <w:p>
      <w:pPr>
        <w:widowControl w:val="on"/>
        <w:pBdr/>
        <w:spacing w:before="140" w:after="240" w:line="288" w:lineRule="auto"/>
        <w:ind w:left="0" w:right="0"/>
        <w:jc w:val="left"/>
      </w:pPr>
      <w:r>
        <w:rPr>
          <w:rFonts w:ascii="Arial" w:hAnsi="Arial" w:eastAsia="Arial" w:cs="Arial"/>
          <w:b/>
          <w:bCs/>
          <w:color w:val="000000"/>
          <w:sz w:val="20"/>
          <w:szCs w:val="20"/>
        </w:rPr>
        <w:t xml:space="preserve">15</w:t>
      </w:r>
      <w:r>
        <w:rPr>
          <w:rFonts w:ascii="Arial" w:hAnsi="Arial" w:eastAsia="Arial" w:cs="Arial"/>
          <w:color w:val="000000"/>
          <w:sz w:val="20"/>
          <w:szCs w:val="20"/>
        </w:rPr>
        <w:br/>
        <w:t xml:space="preserve">Hat das Erstgericht in seinem Urteil über die Frage der Aufrechnung
eines Überbezuges nicht entschieden und wird diese Unterlassung von
der beklagten Partei im Berufungsverfahren nicht gerügt, so ist es
dem Berufungsgericht verwehrt, diese Entscheidung nachzutragen
(RIS-Justiz RS0042365).</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810850">
    <w:multiLevelType w:val="hybridMultilevel"/>
    <w:lvl w:ilvl="0" w:tplc="63906890">
      <w:start w:val="1"/>
      <w:numFmt w:val="decimal"/>
      <w:lvlText w:val="%1."/>
      <w:lvlJc w:val="left"/>
      <w:pPr>
        <w:ind w:left="720" w:hanging="360"/>
      </w:pPr>
    </w:lvl>
    <w:lvl w:ilvl="1" w:tplc="63906890" w:tentative="1">
      <w:start w:val="1"/>
      <w:numFmt w:val="lowerLetter"/>
      <w:lvlText w:val="%2."/>
      <w:lvlJc w:val="left"/>
      <w:pPr>
        <w:ind w:left="1440" w:hanging="360"/>
      </w:pPr>
    </w:lvl>
    <w:lvl w:ilvl="2" w:tplc="63906890" w:tentative="1">
      <w:start w:val="1"/>
      <w:numFmt w:val="lowerRoman"/>
      <w:lvlText w:val="%3."/>
      <w:lvlJc w:val="right"/>
      <w:pPr>
        <w:ind w:left="2160" w:hanging="180"/>
      </w:pPr>
    </w:lvl>
    <w:lvl w:ilvl="3" w:tplc="63906890" w:tentative="1">
      <w:start w:val="1"/>
      <w:numFmt w:val="decimal"/>
      <w:lvlText w:val="%4."/>
      <w:lvlJc w:val="left"/>
      <w:pPr>
        <w:ind w:left="2880" w:hanging="360"/>
      </w:pPr>
    </w:lvl>
    <w:lvl w:ilvl="4" w:tplc="63906890" w:tentative="1">
      <w:start w:val="1"/>
      <w:numFmt w:val="lowerLetter"/>
      <w:lvlText w:val="%5."/>
      <w:lvlJc w:val="left"/>
      <w:pPr>
        <w:ind w:left="3600" w:hanging="360"/>
      </w:pPr>
    </w:lvl>
    <w:lvl w:ilvl="5" w:tplc="63906890" w:tentative="1">
      <w:start w:val="1"/>
      <w:numFmt w:val="lowerRoman"/>
      <w:lvlText w:val="%6."/>
      <w:lvlJc w:val="right"/>
      <w:pPr>
        <w:ind w:left="4320" w:hanging="180"/>
      </w:pPr>
    </w:lvl>
    <w:lvl w:ilvl="6" w:tplc="63906890" w:tentative="1">
      <w:start w:val="1"/>
      <w:numFmt w:val="decimal"/>
      <w:lvlText w:val="%7."/>
      <w:lvlJc w:val="left"/>
      <w:pPr>
        <w:ind w:left="5040" w:hanging="360"/>
      </w:pPr>
    </w:lvl>
    <w:lvl w:ilvl="7" w:tplc="63906890" w:tentative="1">
      <w:start w:val="1"/>
      <w:numFmt w:val="lowerLetter"/>
      <w:lvlText w:val="%8."/>
      <w:lvlJc w:val="left"/>
      <w:pPr>
        <w:ind w:left="5760" w:hanging="360"/>
      </w:pPr>
    </w:lvl>
    <w:lvl w:ilvl="8" w:tplc="63906890" w:tentative="1">
      <w:start w:val="1"/>
      <w:numFmt w:val="lowerRoman"/>
      <w:lvlText w:val="%9."/>
      <w:lvlJc w:val="right"/>
      <w:pPr>
        <w:ind w:left="6480" w:hanging="180"/>
      </w:pPr>
    </w:lvl>
  </w:abstractNum>
  <w:abstractNum w:abstractNumId="88810849">
    <w:multiLevelType w:val="hybridMultilevel"/>
    <w:lvl w:ilvl="0" w:tplc="563386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810849">
    <w:abstractNumId w:val="88810849"/>
  </w:num>
  <w:num w:numId="88810850">
    <w:abstractNumId w:val="888108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60377981" Type="http://schemas.openxmlformats.org/officeDocument/2006/relationships/numbering" Target="numbering.xml"/><Relationship Id="rId22771558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