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1936223" w:name="document"/>
    <w:bookmarkEnd w:id="31936223"/>
    <w:p/>
    <w:p>
      <w:pPr>
        <w:widowControl w:val="on"/>
        <w:pBdr/>
        <w:spacing w:before="0" w:after="280" w:line="240" w:lineRule="auto"/>
        <w:ind w:left="0" w:right="0"/>
        <w:jc w:val="left"/>
      </w:pPr>
      <w:r>
        <w:rPr>
          <w:rFonts w:ascii="Arial" w:hAnsi="Arial" w:eastAsia="Arial" w:cs="Arial"/>
          <w:color w:val="363A40"/>
          <w:sz w:val="24"/>
          <w:szCs w:val="24"/>
        </w:rPr>
        <w:t xml:space="preserve">Dokument-ID: 892818 | Wolfgang Schöberl -
Stanislava Doganova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Pflichtteilsergänzung wegen Schenkungsanfechtung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Pflichtteilsrecht bezweckt, dass der Erblasser nicht vollkommen
frei über sein Vermögen verfügen kann, sondern bestimmte nahe
Verwandte – die Pflichtteilsberechtigten – auf jeden Fall Werte
erhalten sollen. Dies soll auch nicht dadurch umgangen werden
können, dass der Erblasser sein Vermögen zu Lebzeiten verschenkt,
sodass für die Pflichtteilsberechtigten im Nachlass nichts mehr
vorhanden ist. Daher gibt § 789 ABGB dem
Pflichtteilsberechtigten einen direkten Anspruch gegen den
Beschenkten auf Ergänzung des Pflichtteils aus dem Gegenstand der
Schenkung, soweit die Verlassenschaft zur Deckung des durch die
Hinzurechnung der Schenkung erhöhten Pflichtteils nicht ausreicht.
Die Besonderheit dieser Klage besteht darin, dass das Klagebegehren
auf Zahlung bei sonstiger Exekution in den Schenkungsgegenstand
lautet; es kann also nicht Exekution auf das gesamte Vermögen des
Beklagten geführt werden.</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w:t>
      </w:r>
      <w:r>
        <w:rPr>
          <w:rFonts w:ascii="Arial" w:hAnsi="Arial" w:eastAsia="Arial" w:cs="Arial"/>
          <w:color w:val="000000"/>
          <w:sz w:val="20"/>
          <w:szCs w:val="20"/>
        </w:rPr>
        <w:br/>
        <w:t xml:space="preserve">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Landesgericht für Zivilrechtssachen Wien</w:t>
      </w:r>
      <w:r>
        <w:rPr>
          <w:rFonts w:ascii="Arial" w:hAnsi="Arial" w:eastAsia="Arial" w:cs="Arial"/>
          <w:color w:val="000000"/>
          <w:sz w:val="20"/>
          <w:szCs w:val="20"/>
        </w:rPr>
        <w:br/>
        <w:t xml:space="preserve">Schmerlingplatz 11</w:t>
      </w:r>
      <w:r>
        <w:rPr>
          <w:rFonts w:ascii="Arial" w:hAnsi="Arial" w:eastAsia="Arial" w:cs="Arial"/>
          <w:color w:val="000000"/>
          <w:sz w:val="20"/>
          <w:szCs w:val="20"/>
        </w:rPr>
        <w:br/>
        <w:t xml:space="preserve">1016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21.05.2018</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Zita Zukurzgekommen, Angestellte</w:t>
            </w:r>
            <w:r>
              <w:rPr>
                <w:rFonts w:ascii="Arial" w:hAnsi="Arial" w:eastAsia="Arial" w:cs="Arial"/>
                <w:color w:val="000000"/>
                <w:position w:val="0"/>
                <w:sz w:val="20"/>
                <w:szCs w:val="20"/>
                <w:shd w:val="clear" w:color="auto" w:fill="FFFFFF"/>
              </w:rPr>
              <w:br/>
              <w:t xml:space="preserve">Alte Gasse 27</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w:t>
            </w:r>
            <w:r>
              <w:rPr>
                <w:rFonts w:ascii="Arial" w:hAnsi="Arial" w:eastAsia="Arial" w:cs="Arial"/>
                <w:color w:val="000000"/>
                <w:position w:val="0"/>
                <w:sz w:val="20"/>
                <w:szCs w:val="20"/>
                <w:shd w:val="clear" w:color="auto" w:fill="FFFFFF"/>
              </w:rPr>
              <w:b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Lena Lieblingstochter, Hausfrau</w:t>
            </w:r>
            <w:r>
              <w:rPr>
                <w:rFonts w:ascii="Arial" w:hAnsi="Arial" w:eastAsia="Arial" w:cs="Arial"/>
                <w:color w:val="000000"/>
                <w:position w:val="0"/>
                <w:sz w:val="20"/>
                <w:szCs w:val="20"/>
                <w:shd w:val="clear" w:color="auto" w:fill="FFFFFF"/>
              </w:rPr>
              <w:br/>
              <w:t xml:space="preserve">Breite Gasse 7</w:t>
            </w:r>
            <w:r>
              <w:rPr>
                <w:rFonts w:ascii="Arial" w:hAnsi="Arial" w:eastAsia="Arial" w:cs="Arial"/>
                <w:color w:val="000000"/>
                <w:position w:val="0"/>
                <w:sz w:val="20"/>
                <w:szCs w:val="20"/>
                <w:shd w:val="clear" w:color="auto" w:fill="FFFFFF"/>
              </w:rPr>
              <w:br/>
              <w:t xml:space="preserve">1210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Leistung von EUR 50.000,– sA (JN/GGG/RAO)</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rubrizierter Rechtssache habe ich den Rechtsanwalt
Dr. Wolfgang Schöberl, der sich gem § 30 Abs 2 ZPO auf
die erteilte Vollmacht beruft, mit meiner Vertretung beauftragt.
Durch meinen ausgewiesenen Vertreter erhebe ich die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Zuständigkeit</w:t>
      </w:r>
    </w:p>
    <w:p>
      <w:pPr>
        <w:widowControl w:val="on"/>
        <w:pBdr/>
        <w:spacing w:before="140" w:after="240" w:line="288" w:lineRule="auto"/>
        <w:ind w:left="0" w:right="0"/>
        <w:jc w:val="left"/>
      </w:pPr>
      <w:r>
        <w:rPr>
          <w:rFonts w:ascii="Arial" w:hAnsi="Arial" w:eastAsia="Arial" w:cs="Arial"/>
          <w:color w:val="000000"/>
          <w:sz w:val="20"/>
          <w:szCs w:val="20"/>
        </w:rPr>
        <w:t xml:space="preserve">Gegenstand der Klage ist die Ergänzung des Pflichtteils wegen
der Hinzurechnung einer Schenkung (§ 789 ABGB). Die Klage ist
gem § 49 JN nicht dem Bezirksgericht zugewiesen, da der
Streitwert die maßgebliche Wertgrenze übersteigt. Gem § 50 JN
liegt daher die Zuständigkeit des Gerichtshofs erster Instanz vor.
Mangels besonderen Gerichtsstands ist gem § 65 JN die örtliche
Zuständigkeit am allgemeinen Gerichtsstand der Beklagten begründet.
Die Beklagte hat ihren Wohnsitz im Sprengel des angerufenen
Gerichtes (§ 66 Abs 1 JN), sodass das angerufene Gericht
sachlich und örtlich zuständig ist.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Die am 05.12.1955 geborene Beklagte und ich, geboren am
31.01.1952, sind die beiden einzigen Kinder des am 02.01.2017
verstorbenen Erwin Erblasser. Unsere Mutter ist bereits im Jahr
1999 vorverstorben.</w:t>
      </w:r>
    </w:p>
    <w:p>
      <w:pPr>
        <w:widowControl w:val="on"/>
        <w:pBdr/>
        <w:spacing w:before="140" w:after="240" w:line="288" w:lineRule="auto"/>
        <w:ind w:left="0" w:right="0"/>
        <w:jc w:val="left"/>
      </w:pPr>
      <w:r>
        <w:rPr>
          <w:rFonts w:ascii="Arial" w:hAnsi="Arial" w:eastAsia="Arial" w:cs="Arial"/>
          <w:color w:val="000000"/>
          <w:sz w:val="20"/>
          <w:szCs w:val="20"/>
        </w:rPr>
        <w:t xml:space="preserve">Das Verlassenschaftsverfahren nach unserem Vater war zur GZ: 3 A
2/17z beim Bezirksgericht Gänserndorf anhängig. Die
Todesfallaufnahme hat jedoch ergeben, dass die Verlassenschaft
keinerlei Aktiva enthält, und sohin vollkommen vermögenslos ist.
Daher unterblieb gemäß Verständigung des Bezirksgerichtes
Gänserndorf vom 03.05.2017 die Abhandlung gem § 153 Abs 1
AußStrG wegen Vermögenslosigkeit.</w:t>
      </w:r>
    </w:p>
    <w:p>
      <w:pPr>
        <w:widowControl w:val="on"/>
        <w:pBdr/>
        <w:spacing w:before="140" w:after="240" w:line="288" w:lineRule="auto"/>
        <w:ind w:left="0" w:right="0"/>
        <w:jc w:val="left"/>
      </w:pPr>
      <w:r>
        <w:rPr>
          <w:rFonts w:ascii="Arial" w:hAnsi="Arial" w:eastAsia="Arial" w:cs="Arial"/>
          <w:color w:val="000000"/>
          <w:sz w:val="20"/>
          <w:szCs w:val="20"/>
        </w:rPr>
        <w:t xml:space="preserve">Mein Vater hat jedoch der Beklagten mit Schenkungsvertrag vom
07.06.2005 die ihm zur Gänze gehörende Liegenschaft EZ 12345 KG
Gänserndorf mitsamt dem darauf errichteten Einfamilienhaus
geschenkt. Die Beklagte ist daher grundbücherliche
Alleineigentümerin dieser Liegenschaft. Die Liegenschaft hat zum
Zeitpunkt der Schenkung einen Verkehrswert von mindestens
EUR 180.000,–. Valorisiert auf den Todestag unter Heranziehung
des Verbraucherpreisindex 2000 ergibt sich ein Wert von mindestens
EUR 200.000,–.</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der Klägerin</w:t>
            </w:r>
            <w:r>
              <w:rPr>
                <w:rFonts w:ascii="Arial" w:hAnsi="Arial" w:eastAsia="Arial" w:cs="Arial"/>
                <w:color w:val="000000"/>
                <w:position w:val="0"/>
                <w:sz w:val="20"/>
                <w:szCs w:val="20"/>
                <w:shd w:val="clear" w:color="auto" w:fill="FFFFFF"/>
              </w:rPr>
              <w:br/>
              <w:t xml:space="preserve">vorzulegende Urkunden:</w:t>
            </w:r>
            <w:r>
              <w:rPr>
                <w:rFonts w:ascii="Arial" w:hAnsi="Arial" w:eastAsia="Arial" w:cs="Arial"/>
                <w:color w:val="000000"/>
                <w:position w:val="0"/>
                <w:sz w:val="20"/>
                <w:szCs w:val="20"/>
                <w:shd w:val="clear" w:color="auto" w:fill="FFFFFF"/>
              </w:rPr>
              <w:br/>
              <w:t xml:space="preserve">Protokoll der Todesfallaufnahme</w:t>
            </w:r>
            <w:r>
              <w:rPr>
                <w:rFonts w:ascii="Arial" w:hAnsi="Arial" w:eastAsia="Arial" w:cs="Arial"/>
                <w:color w:val="000000"/>
                <w:position w:val="0"/>
                <w:sz w:val="20"/>
                <w:szCs w:val="20"/>
                <w:shd w:val="clear" w:color="auto" w:fill="FFFFFF"/>
              </w:rPr>
              <w:br/>
              <w:t xml:space="preserve">Verständigung des BG Gänserndorf vom 03.05.2017</w:t>
            </w:r>
            <w:r>
              <w:rPr>
                <w:rFonts w:ascii="Arial" w:hAnsi="Arial" w:eastAsia="Arial" w:cs="Arial"/>
                <w:color w:val="000000"/>
                <w:position w:val="0"/>
                <w:sz w:val="20"/>
                <w:szCs w:val="20"/>
                <w:shd w:val="clear" w:color="auto" w:fill="FFFFFF"/>
              </w:rPr>
              <w:br/>
              <w:t xml:space="preserve">Schenkungsvertrag vom 07.06.2005</w:t>
            </w:r>
            <w:r>
              <w:rPr>
                <w:rFonts w:ascii="Arial" w:hAnsi="Arial" w:eastAsia="Arial" w:cs="Arial"/>
                <w:color w:val="000000"/>
                <w:position w:val="0"/>
                <w:sz w:val="20"/>
                <w:szCs w:val="20"/>
                <w:shd w:val="clear" w:color="auto" w:fill="FFFFFF"/>
              </w:rPr>
              <w:br/>
              <w:t xml:space="preserve">Grundbuchsauszug der Liegenschaft EZ 12345 KG Gänserndorf</w:t>
            </w:r>
            <w:r>
              <w:rPr>
                <w:rFonts w:ascii="Arial" w:hAnsi="Arial" w:eastAsia="Arial" w:cs="Arial"/>
                <w:color w:val="000000"/>
                <w:position w:val="0"/>
                <w:sz w:val="20"/>
                <w:szCs w:val="20"/>
                <w:shd w:val="clear" w:color="auto" w:fill="FFFFFF"/>
              </w:rPr>
              <w:br/>
              <w:t xml:space="preserve">einzuholendes Sachverständigengutachten aus dem Gebiet der
Immobilienbewertung</w:t>
            </w:r>
            <w:r>
              <w:rPr>
                <w:rFonts w:ascii="Arial" w:hAnsi="Arial" w:eastAsia="Arial" w:cs="Arial"/>
                <w:color w:val="000000"/>
                <w:position w:val="0"/>
                <w:sz w:val="20"/>
                <w:szCs w:val="20"/>
                <w:shd w:val="clear" w:color="auto" w:fill="FFFFFF"/>
              </w:rPr>
              <w:br/>
              <w:t xml:space="preserve">vorzulegende Berechnung der Indexanpassung gemäß VPI 2000</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Rechtliche Würdigung</w:t>
      </w:r>
    </w:p>
    <w:p>
      <w:pPr>
        <w:widowControl w:val="on"/>
        <w:pBdr/>
        <w:spacing w:before="140" w:after="240" w:line="288" w:lineRule="auto"/>
        <w:ind w:left="0" w:right="0"/>
        <w:jc w:val="left"/>
      </w:pPr>
      <w:r>
        <w:rPr>
          <w:rFonts w:ascii="Arial" w:hAnsi="Arial" w:eastAsia="Arial" w:cs="Arial"/>
          <w:color w:val="000000"/>
          <w:sz w:val="20"/>
          <w:szCs w:val="20"/>
        </w:rPr>
        <w:t xml:space="preserve">Ich bin als Tochter des Erblassers pflichtteilsberechtigt. Gem
§ 783 ABGB bin ich weiters berechtigt, die Hinzurechnung des
Wertes der Liegenschaft EZ 12345 KG Gänserndorf in die
Verlassenschaft zu fordern. Diese Schenkung ist an die Beklagte
erfolgt, die ebenfalls pflichtteilsberechtigt ist, sodass die
Schenkung zeitlich unbeschränkt anrechenbar ist. Mein
Pflichtteilsanspruch ist daher vom fiktiven Wert der
Verlassenschaft zu berechnen, den diese hätte, wenn die Schenkung
nicht erfolgt wäre. Da die Verlassenschaft aber vermögenslos ist,
und sohin aus deren Mitteln keine Deckung meines Pflichtteils
erfolgen kann, steht mir gem § 789 ABGB ein direkter Anspruch
gegen die Beklagte zu.</w:t>
      </w:r>
    </w:p>
    <w:p>
      <w:pPr>
        <w:widowControl w:val="on"/>
        <w:pBdr/>
        <w:spacing w:before="140" w:after="240" w:line="288" w:lineRule="auto"/>
        <w:ind w:left="0" w:right="0"/>
        <w:jc w:val="left"/>
      </w:pPr>
      <w:r>
        <w:rPr>
          <w:rFonts w:ascii="Arial" w:hAnsi="Arial" w:eastAsia="Arial" w:cs="Arial"/>
          <w:color w:val="000000"/>
          <w:sz w:val="20"/>
          <w:szCs w:val="20"/>
        </w:rPr>
        <w:t xml:space="preserve">Die Höhe meines Pflichtteils beträgt die Hälfte meines
gesetzlichen Erbteils. Da mein verwitweter Vater zwei Nachkommen –
nämlich mich und die Beklagte – hinterließ, beläuft sich mein
gesetzlicher Erbteil auf die Hälfte und mein Pflichtteilsanspruch
daher auf ein Viertel. Mir steht aus dem Titel der
Pflichtteilsergänzung sohin ein Viertel des Wertes der der
Beklagten geschenkten Liegenschaft zu, also der Betrag von
EUR 50.000,–.</w:t>
      </w:r>
    </w:p>
    <w:p>
      <w:pPr>
        <w:widowControl w:val="on"/>
        <w:pBdr/>
        <w:spacing w:before="140" w:after="240" w:line="288" w:lineRule="auto"/>
        <w:ind w:left="0" w:right="0"/>
        <w:jc w:val="left"/>
      </w:pPr>
      <w:r>
        <w:rPr>
          <w:rFonts w:ascii="Arial" w:hAnsi="Arial" w:eastAsia="Arial" w:cs="Arial"/>
          <w:color w:val="000000"/>
          <w:sz w:val="20"/>
          <w:szCs w:val="20"/>
        </w:rPr>
        <w:t xml:space="preserve">Zur Bewertung ist noch festzuhalten, dass die geschenkte Sache
gem § 788 ABGB auf den Zeitpunkt der Schenkung zu bewerten
ist; dieser ist sodann unter Heranziehung eines von der Statistik
Austria veröffentlichten Verbraucherpreisindex auf den
Todeszeitpunkt anzupassen.</w:t>
      </w:r>
    </w:p>
    <w:p>
      <w:pPr>
        <w:widowControl w:val="on"/>
        <w:pBdr/>
        <w:spacing w:before="140" w:after="240" w:line="288" w:lineRule="auto"/>
        <w:ind w:left="0" w:right="0"/>
        <w:jc w:val="left"/>
      </w:pPr>
      <w:r>
        <w:rPr>
          <w:rFonts w:ascii="Arial" w:hAnsi="Arial" w:eastAsia="Arial" w:cs="Arial"/>
          <w:color w:val="000000"/>
          <w:sz w:val="20"/>
          <w:szCs w:val="20"/>
        </w:rPr>
        <w:t xml:space="preserve">Gem §§ 789 iVm 765 ABGB entsteht der Pflichtteilsanspruch
einschließlich des Ergänzungspflichtteils mit dem Tod des
Erblassers, kann jedoch, soweit es sich um den Geldpflichtteil
handelt, erst ein Jahr ab dem Tod des Erblassers gefordert werden.
Dabei handelt es sich jedoch um eine „reine Stundung“, sodass die
Verzugszinsen ab dem Todestag des Erblassers, sohin ab dem
02.01.2017, begehrt werden.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Klagebegehren</w:t>
      </w:r>
    </w:p>
    <w:p>
      <w:pPr>
        <w:widowControl w:val="on"/>
        <w:pBdr/>
        <w:spacing w:before="140" w:after="240" w:line="288" w:lineRule="auto"/>
        <w:ind w:left="0" w:right="0"/>
        <w:jc w:val="left"/>
      </w:pPr>
      <w:r>
        <w:rPr>
          <w:rFonts w:ascii="Arial" w:hAnsi="Arial" w:eastAsia="Arial" w:cs="Arial"/>
          <w:color w:val="000000"/>
          <w:sz w:val="20"/>
          <w:szCs w:val="20"/>
        </w:rPr>
        <w:t xml:space="preserve">Auf Grundlage der obigen Ausführungen wird beantragt zu erlassen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widowControl w:val="on"/>
        <w:pBdr/>
        <w:spacing w:before="140" w:after="240" w:line="288" w:lineRule="auto"/>
        <w:ind w:left="0" w:right="0"/>
        <w:jc w:val="left"/>
      </w:pPr>
      <w:r>
        <w:rPr>
          <w:rFonts w:ascii="Arial" w:hAnsi="Arial" w:eastAsia="Arial" w:cs="Arial"/>
          <w:color w:val="000000"/>
          <w:sz w:val="20"/>
          <w:szCs w:val="20"/>
        </w:rPr>
        <w:t xml:space="preserve">Die Beklagte ist schuldig, der Klägerin zu Handen des
Klagsvertreters den Betrag von EUR 50.000,– zuzüglich 4 %
Zinsen seit dem 02.01.2017 zu bezahlen und die Kosten dieses
Rechtsstreits unter Anwendung des § 19a RAO zu ersetzen; all
dies binnen 14 Tagen bei sonstiger Exekution in die der Beklagten
grundbücherlich zugeschriebene Liegenschaft EZ 12345 KG
Gänserndorf.</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Bei der Klage auf Pflichtteilsergänzung wegen der Hinzurechnung von
Schenkungen gem § 789 ABGB handelt es sich um eine Klage auf
Zahlung mit der Besonderheit, dass Exekution nicht in das gesamte
Vermögen des Beklagten geführt werden kann, sondern nur in die
geschenkte Sache. Das Klagebegehren hat daher auf Zahlung bei
sonstiger Exekutionsführung in den Schenkungsgegenstand, der
entsprechend genau zu bezeichnen ist, zu lauten. Im Musterbeispiel
ist dies relativ einfach, weil es sich um eine Liegenschaft
handelt, sodass auch die Art der Exekution keine besonderen
Probleme bereitet – es steht die Realexekution zur Verfügung. Bei
anderen Vermögensgegenständen bzw Vermögenswerten ist dies oft
schwieriger. In der Praxis kommen derartige Klagen aber bei weitem
am häufigsten mit Bezug auf Liegenschaften vor (zumal
Liegenschaftsschenkungen im Grundbuch sehr leicht nachzuvollziehen
sind, während man bei der Schenkung von anderen Vermögenswerten,
insbesondere, wenn schon eine längere Zeit verstrichen ist, oft vor
Beweisproblemen steht).</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Materiellrechtlich sind die Voraussetzungen der Klage auf
Pflichtteilsergänzung, die im Klagsvorbringen enthalten sein
müssen, wie folgt zusammenzufassen: Der Kläger ist (a)
pflichtteilsberechtigt, begehrt (b) die Hinzurechnung einer zu
Lebzeiten erfolgten Schenkung des Erblassers zur Verlassenschaft,
wobei aber (c) in der Verlassenschaft keine bzw nicht ausreichende
Werte enthalten sind, um den auf die Schenkung bezogenen
Pflichtteilsanspruch abzudecken, sodass der Kläger (d) einen
Anspruch direkt gegen den Beschenkten auf Deckung des Fehlbetrages
= Pflichtteilsergänzung hat. Dem Musterbeispiel liegt der sehr
einfache Sachverhalt zu Grunde, dass die Verlassenschaft zur Gänze
vermögenslos ist, sodass der gesamte Pflichtteilsanspruch
ausschließlich aus der Hinzurechnung der Schenkung resultiert, und
gegen den Beschenkten geltend zu machen ist. Es ist aber natürlich
auch möglich, dass aus der Verlassenschaft zumindest ein Teil des
Pflichtteilsergänzungsanspruches abgedeckt werden kann, und der
Beschenkte daher nur die Differenz zu bezahlen hat. Ist der
Beschenkte selbst pflichtteilsberechtigt, wie es im Muster der Fall
ist, sind Schenkungen zeitlich unbeschränkt hinzurechenbar;
ansonsten kann nur die Hinzurechnung von Schenkungen begehrt
werden, die nicht früher als zwei Jahre vor dem Tod des Erblassers
erfolgt sind (§§ 782, 783 ABGB).</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Hinsichtlich der örtlichen Zuständigkeit gibt es keine besonderen
Bestimmungen; insbesondere liegt weder eine Zuständigkeit am Sitz
des Verlassenschaftsgerichtes noch eine Zuständigkeit am Ort der
gelegenen Sache vor. Es gibt auch keine diesbezüglichen
Wahlgerichtsstände. Die Klage hat daher am allgemeinen
Gerichtsstand des Beklagten zu erfolgen. Da es sich um eine bloße
Zahlungsklage handelt, ist trotz des im Musterbeispiel bestehenden
Zusammenhang mit einer Liegenschaft eine Klagsanmerkung im
Grundbuch nicht möglich.</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Nach dem ErbRÄG 2015 ist die geschenkte Sache auf den Zeitpunkt zu
bewerten, in dem die Schenkung wirklich gemacht wurde; dieser Wert
ist sodann nach einem von der Statistik Austria verlautbarten
Verbraucherpreisindex auf den Todeszeitpunkt anzupassen (§ 788
ABGB). Nach der alten Rechtslage, die jedoch noch heranzuziehen
ist, wenn der Erblasser vor dem 31.12.2016 verstarb, ist hingegen
der Wert zum Zeitpunkt des Todes des Erblassers zu Grunde zu legen;
die Bewertung erfolgt aber anhand des Zustandes zum Zeitpunkt der
Schenkung (vgl zur alten Rechtslage ausführlich </w:t>
      </w:r>
      <w:r>
        <w:rPr>
          <w:rFonts w:ascii="Arial" w:hAnsi="Arial" w:eastAsia="Arial" w:cs="Arial"/>
          <w:i/>
          <w:iCs/>
          <w:color w:val="000000"/>
          <w:sz w:val="20"/>
          <w:szCs w:val="20"/>
        </w:rPr>
        <w:t xml:space="preserve">Binder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Schwimann</w:t>
      </w:r>
      <w:r>
        <w:rPr>
          <w:rFonts w:ascii="Arial" w:hAnsi="Arial" w:eastAsia="Arial" w:cs="Arial"/>
          <w:color w:val="000000"/>
          <w:sz w:val="20"/>
          <w:szCs w:val="20"/>
        </w:rPr>
        <w:t xml:space="preserve">, ABGB</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IV, §§ 951, 952
Rz 17 mwN). Handelt es sich um eine geschenkte Liegenschaft,
ist im Prozess jedenfalls die Bewertung durch einen
Sachverständigen aus dem Gebiet der Immobilienbewertung
erforderlich. Es ist aber anzuraten, bereits vor Klagseinbringung
entsprechend fundierte Erhebungen anzustellen, um zu einem halbwegs
realistischen Klagsbetrag zu kommen, und nicht die Kostenfolgen für
den Fall der Überklagung zu riskieren. Im Zweifel ist es oft
besser, einen niedrigeren Betrag einzuklagen, und sich eine
Klagsausdehnung entsprechend dem Ergebnis des
Sachverständigengutachtens vorzubehalten. Zur Berechnung der
Valorisierung auf den Todeszeitpunkt kann die Website der Statistik
Austria </w:t>
      </w:r>
      <w:hyperlink r:id="rId34026a859c7f3ef60" w:history="1">
        <w:r>
          <w:rPr>
            <w:rFonts w:ascii="Arial" w:hAnsi="Arial" w:eastAsia="Arial" w:cs="Arial"/>
            <w:color w:val="006BB6"/>
            <w:sz w:val="20"/>
            <w:szCs w:val="20"/>
          </w:rPr>
          <w:t xml:space="preserve">www.statistik.at</w:t>
        </w:r>
      </w:hyperlink>
      <w:r>
        <w:rPr>
          <w:rFonts w:ascii="Arial" w:hAnsi="Arial" w:eastAsia="Arial" w:cs="Arial"/>
          <w:color w:val="000000"/>
          <w:sz w:val="20"/>
          <w:szCs w:val="20"/>
        </w:rPr>
        <w:t xml:space="preserve"> herangezogen werden, die einen
Wertsicherungsrechner für verschiedene Indizes vorhält.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Der Pflichtteilsanspruchs einschließlich des Anspruchs auf den
Ergänzungspflichtteil entsteht gem §§ 789 iVm 765 ABGB mit dem
Tod des Erblassers, kann jedoch, soweit es sich um den
Geldpflichtteil handelt, erst ein Jahr ab dem Tod des Erblassers
gefordert werden. Auf Grund des systematischen Zusammenhangs gilt
dies mE auch für den Ergänzungspflichtteil, der ja auch eine Art
des Geldpflichtteils darstellt. Dabei handelt es sich um eine
„reine Stundung“, sodass die gesetzlichen Verzugszinsen bereits ab
dem Tod des Erblassers zu laufen beginnen. Der Erblasser kann
jedoch – auch hinsichtlich des Ergänzungspflichtteils – die
Stundung auf bis zu fünf Jahre anordnen (§ 766 ABGB).</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In stilistischer Hinsicht ist abschließend zu erwähnen, dass im
Muster anstatt der dritten Person bewusst die Ich-Form gewählt
wurde, die sich für Klagen im Bereich des Erbrechts, wo emotionale
Komponenten oftmals eine große Rolle spielen, besonders anbietet.
In der Praxis wird man gerade bei derartigen Klagen häufig die
Klagserzählung über das trockene, juristisch notwendige Vorbringen
hinaus etwas ausschmücken, um dem Gericht die emotionale
Betroffenheit der zu kurz gekommenen Klägerin zu vermitteln.</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Soweit ein Manifestationsbegehren auf die Offenlegung
„pflichtteilsrelevanter“ Vorempfänge und Schenkungen des Erblassers
gerichtet ist, obliegt es den Klägern (nur), ihre subjektive
Besorgnis, von derartigen Zuwendungen keine Kenntnis zu haben, in
der Klage „begründet“ darzulegen. Diesbezüglich können die bei
Anträgen auf Bewilligung der Nachlassseparation iSd § 812 ABGB
ergangenen Grundsätze sinngemäß herangezogen werden (vgl RS0013068)
(RIS-Justiz RS0127349).</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Es würde einen erheblichen Wertungswiderspruch darstellen, wenn die
Verjährung eines subsidiären Anspruchs des Pflichtteilsgläubigers
gegen den haftenden Geschenknehmer früher beginnen würde, als jene
des Hauptanspruchs. § 765 Abs 2 ABGB weist damit eine
planwidrige Lücke auf, die durch analoge Anwendung dieser
Bestimmung auf den Anspruch nach § 789 ABGB zu schließen ist
(RIS-Justiz RS0134241).</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884767">
    <w:multiLevelType w:val="hybridMultilevel"/>
    <w:lvl w:ilvl="0" w:tplc="54317391">
      <w:start w:val="1"/>
      <w:numFmt w:val="decimal"/>
      <w:lvlText w:val="%1."/>
      <w:lvlJc w:val="left"/>
      <w:pPr>
        <w:ind w:left="720" w:hanging="360"/>
      </w:pPr>
    </w:lvl>
    <w:lvl w:ilvl="1" w:tplc="54317391" w:tentative="1">
      <w:start w:val="1"/>
      <w:numFmt w:val="lowerLetter"/>
      <w:lvlText w:val="%2."/>
      <w:lvlJc w:val="left"/>
      <w:pPr>
        <w:ind w:left="1440" w:hanging="360"/>
      </w:pPr>
    </w:lvl>
    <w:lvl w:ilvl="2" w:tplc="54317391" w:tentative="1">
      <w:start w:val="1"/>
      <w:numFmt w:val="lowerRoman"/>
      <w:lvlText w:val="%3."/>
      <w:lvlJc w:val="right"/>
      <w:pPr>
        <w:ind w:left="2160" w:hanging="180"/>
      </w:pPr>
    </w:lvl>
    <w:lvl w:ilvl="3" w:tplc="54317391" w:tentative="1">
      <w:start w:val="1"/>
      <w:numFmt w:val="decimal"/>
      <w:lvlText w:val="%4."/>
      <w:lvlJc w:val="left"/>
      <w:pPr>
        <w:ind w:left="2880" w:hanging="360"/>
      </w:pPr>
    </w:lvl>
    <w:lvl w:ilvl="4" w:tplc="54317391" w:tentative="1">
      <w:start w:val="1"/>
      <w:numFmt w:val="lowerLetter"/>
      <w:lvlText w:val="%5."/>
      <w:lvlJc w:val="left"/>
      <w:pPr>
        <w:ind w:left="3600" w:hanging="360"/>
      </w:pPr>
    </w:lvl>
    <w:lvl w:ilvl="5" w:tplc="54317391" w:tentative="1">
      <w:start w:val="1"/>
      <w:numFmt w:val="lowerRoman"/>
      <w:lvlText w:val="%6."/>
      <w:lvlJc w:val="right"/>
      <w:pPr>
        <w:ind w:left="4320" w:hanging="180"/>
      </w:pPr>
    </w:lvl>
    <w:lvl w:ilvl="6" w:tplc="54317391" w:tentative="1">
      <w:start w:val="1"/>
      <w:numFmt w:val="decimal"/>
      <w:lvlText w:val="%7."/>
      <w:lvlJc w:val="left"/>
      <w:pPr>
        <w:ind w:left="5040" w:hanging="360"/>
      </w:pPr>
    </w:lvl>
    <w:lvl w:ilvl="7" w:tplc="54317391" w:tentative="1">
      <w:start w:val="1"/>
      <w:numFmt w:val="lowerLetter"/>
      <w:lvlText w:val="%8."/>
      <w:lvlJc w:val="left"/>
      <w:pPr>
        <w:ind w:left="5760" w:hanging="360"/>
      </w:pPr>
    </w:lvl>
    <w:lvl w:ilvl="8" w:tplc="54317391" w:tentative="1">
      <w:start w:val="1"/>
      <w:numFmt w:val="lowerRoman"/>
      <w:lvlText w:val="%9."/>
      <w:lvlJc w:val="right"/>
      <w:pPr>
        <w:ind w:left="6480" w:hanging="180"/>
      </w:pPr>
    </w:lvl>
  </w:abstractNum>
  <w:abstractNum w:abstractNumId="69884766">
    <w:multiLevelType w:val="hybridMultilevel"/>
    <w:lvl w:ilvl="0" w:tplc="419081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884766">
    <w:abstractNumId w:val="69884766"/>
  </w:num>
  <w:num w:numId="69884767">
    <w:abstractNumId w:val="698847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78433890" Type="http://schemas.openxmlformats.org/officeDocument/2006/relationships/numbering" Target="numbering.xml"/><Relationship Id="rId133286775" Type="http://schemas.openxmlformats.org/officeDocument/2006/relationships/comments" Target="comments.xml"/><Relationship Id="rId34026a859c7f3ef60" Type="http://schemas.openxmlformats.org/officeDocument/2006/relationships/hyperlink" Target="http://www.statistik.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