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78790838" w:name="document"/>
    <w:bookmarkEnd w:id="78790838"/>
    <w:p/>
    <w:p>
      <w:pPr>
        <w:widowControl w:val="on"/>
        <w:pBdr/>
        <w:spacing w:before="0" w:after="280" w:line="240" w:lineRule="auto"/>
        <w:ind w:left="0" w:right="0"/>
        <w:jc w:val="left"/>
      </w:pPr>
      <w:r>
        <w:rPr>
          <w:rFonts w:ascii="Arial" w:hAnsi="Arial" w:eastAsia="Arial" w:cs="Arial"/>
          <w:color w:val="363A40"/>
          <w:sz w:val="24"/>
          <w:szCs w:val="24"/>
        </w:rPr>
        <w:t xml:space="preserve">Dokument-ID: 1012487 | Gottfried Schellmann -
Stanislava Doganova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Entlassungsanfechtung</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color w:val="000000"/>
          <w:sz w:val="20"/>
          <w:szCs w:val="20"/>
        </w:rPr>
        <w:br/>
        <w:t xml:space="preserve">Die Entlassungsanfechtung ist eine Klage auf Aufhebung einer
ausgesprochenen Entlassung gem §§ 105, 106 ArbVG. Dieses
Muster behandelt den in der Praxis öfter vorkommenden Fall der
Entlassung wegen Untreue sowie die Entlassungsanfechtung aufgrund
von Sozialwidrigkeit und das vom Arbeitgeber fälschlich angenommene
Aussprechen eines Entlassungsgrundes.</w:t>
      </w:r>
    </w:p>
    <w:p>
      <w:r>
        <w:pict>
          <v:rect id="_x0000_i1026" style="width:0;height:1.5pt" o:hralign="center" o:hrstd="t" o:hr="t" o:hrnoshade="t" fillcolor="#a0a0a0" stroked="f"/>
        </w:pict>
      </w:r>
    </w:p>
    <w:p>
      <w:pPr>
        <w:widowControl w:val="on"/>
        <w:pBdr/>
        <w:spacing w:before="140" w:after="240" w:line="288" w:lineRule="auto"/>
        <w:ind w:left="0" w:right="0"/>
        <w:jc w:val="right"/>
      </w:pPr>
      <w:r>
        <w:rPr>
          <w:rFonts w:ascii="Arial" w:hAnsi="Arial" w:eastAsia="Arial" w:cs="Arial"/>
          <w:color w:val="000000"/>
          <w:sz w:val="20"/>
          <w:szCs w:val="20"/>
        </w:rPr>
        <w:t xml:space="preserve">Gebühreneinzug: gebührenbefreit</w:t>
      </w:r>
      <w:r>
        <w:rPr>
          <w:rFonts w:ascii="Arial" w:hAnsi="Arial" w:eastAsia="Arial" w:cs="Arial"/>
          <w:color w:val="000000"/>
          <w:sz w:val="20"/>
          <w:szCs w:val="20"/>
        </w:rPr>
        <w:br/>
        <w:t xml:space="preserve">Über Konto: …</w:t>
      </w:r>
      <w:r>
        <w:rPr>
          <w:rFonts w:ascii="Arial" w:hAnsi="Arial" w:eastAsia="Arial" w:cs="Arial"/>
          <w:color w:val="000000"/>
          <w:sz w:val="20"/>
          <w:szCs w:val="20"/>
        </w:rPr>
        <w:br/>
        <w:t xml:space="preserve">Bei der … Bank</w:t>
      </w:r>
    </w:p>
    <w:p>
      <w:pPr>
        <w:widowControl w:val="on"/>
        <w:pBdr/>
        <w:spacing w:before="140" w:after="240" w:line="288" w:lineRule="auto"/>
        <w:ind w:left="0" w:right="0"/>
        <w:jc w:val="center"/>
      </w:pPr>
      <w:r>
        <w:rPr>
          <w:rFonts w:ascii="Arial" w:hAnsi="Arial" w:eastAsia="Arial" w:cs="Arial"/>
          <w:color w:val="000000"/>
          <w:sz w:val="20"/>
          <w:szCs w:val="20"/>
        </w:rPr>
        <w:t xml:space="preserve">Rechtsanwalt Mag. Karl Kämpfer</w:t>
      </w:r>
      <w:r>
        <w:rPr>
          <w:rFonts w:ascii="Arial" w:hAnsi="Arial" w:eastAsia="Arial" w:cs="Arial"/>
          <w:color w:val="000000"/>
          <w:sz w:val="20"/>
          <w:szCs w:val="20"/>
        </w:rPr>
        <w:br/>
        <w:t xml:space="preserve">Kolingasse 15</w:t>
      </w:r>
      <w:r>
        <w:rPr>
          <w:rFonts w:ascii="Arial" w:hAnsi="Arial" w:eastAsia="Arial" w:cs="Arial"/>
          <w:color w:val="000000"/>
          <w:sz w:val="20"/>
          <w:szCs w:val="20"/>
        </w:rPr>
        <w:br/>
        <w:t xml:space="preserve">1090 Wien</w:t>
      </w:r>
    </w:p>
    <w:p>
      <w:pPr>
        <w:widowControl w:val="on"/>
        <w:pBdr/>
        <w:spacing w:before="140" w:after="240" w:line="288" w:lineRule="auto"/>
        <w:ind w:left="0" w:right="0"/>
        <w:jc w:val="left"/>
      </w:pPr>
      <w:r>
        <w:rPr>
          <w:rFonts w:ascii="Arial" w:hAnsi="Arial" w:eastAsia="Arial" w:cs="Arial"/>
          <w:color w:val="000000"/>
          <w:sz w:val="20"/>
          <w:szCs w:val="20"/>
        </w:rPr>
        <w:t xml:space="preserve">per WebERV</w:t>
      </w:r>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Arbeits- und Sozialgericht Wien</w:t>
      </w:r>
      <w:r>
        <w:rPr>
          <w:rFonts w:ascii="Arial" w:hAnsi="Arial" w:eastAsia="Arial" w:cs="Arial"/>
          <w:color w:val="000000"/>
          <w:sz w:val="20"/>
          <w:szCs w:val="20"/>
        </w:rPr>
        <w:br/>
        <w:t xml:space="preserve">Wickenburggasse 8</w:t>
      </w:r>
      <w:r>
        <w:rPr>
          <w:rFonts w:ascii="Arial" w:hAnsi="Arial" w:eastAsia="Arial" w:cs="Arial"/>
          <w:color w:val="000000"/>
          <w:sz w:val="20"/>
          <w:szCs w:val="20"/>
        </w:rPr>
        <w:br/>
        <w:t xml:space="preserve">1080 Wien</w:t>
      </w:r>
    </w:p>
    <w:p>
      <w:pPr>
        <w:widowControl w:val="on"/>
        <w:pBdr/>
        <w:spacing w:before="140" w:after="240" w:line="288" w:lineRule="auto"/>
        <w:ind w:left="0" w:right="0"/>
        <w:jc w:val="right"/>
      </w:pPr>
      <w:r>
        <w:rPr>
          <w:rFonts w:ascii="Arial" w:hAnsi="Arial" w:eastAsia="Arial" w:cs="Arial"/>
          <w:color w:val="000000"/>
          <w:sz w:val="20"/>
          <w:szCs w:val="20"/>
        </w:rPr>
        <w:t xml:space="preserve">Wien, am 30.11.2014</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Klagende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Friedrich Fleißig</w:t>
            </w:r>
            <w:r>
              <w:rPr>
                <w:rFonts w:ascii="Arial" w:hAnsi="Arial" w:eastAsia="Arial" w:cs="Arial"/>
                <w:color w:val="000000"/>
                <w:position w:val="0"/>
                <w:sz w:val="20"/>
                <w:szCs w:val="20"/>
                <w:shd w:val="clear" w:color="auto" w:fill="FFFFFF"/>
              </w:rPr>
              <w:br/>
              <w:t xml:space="preserve">Sommergasse 20</w:t>
            </w:r>
            <w:r>
              <w:rPr>
                <w:rFonts w:ascii="Arial" w:hAnsi="Arial" w:eastAsia="Arial" w:cs="Arial"/>
                <w:color w:val="000000"/>
                <w:position w:val="0"/>
                <w:sz w:val="20"/>
                <w:szCs w:val="20"/>
                <w:shd w:val="clear" w:color="auto" w:fill="FFFFFF"/>
              </w:rPr>
              <w:br/>
              <w:t xml:space="preserve">1190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Mag. Karl Kämpfer</w:t>
            </w:r>
            <w:r>
              <w:rPr>
                <w:rFonts w:ascii="Arial" w:hAnsi="Arial" w:eastAsia="Arial" w:cs="Arial"/>
                <w:color w:val="000000"/>
                <w:position w:val="0"/>
                <w:sz w:val="20"/>
                <w:szCs w:val="20"/>
                <w:shd w:val="clear" w:color="auto" w:fill="FFFFFF"/>
              </w:rPr>
              <w:br/>
              <w:t xml:space="preserve">Kolingasse 15</w:t>
            </w:r>
            <w:r>
              <w:rPr>
                <w:rFonts w:ascii="Arial" w:hAnsi="Arial" w:eastAsia="Arial" w:cs="Arial"/>
                <w:color w:val="000000"/>
                <w:position w:val="0"/>
                <w:sz w:val="20"/>
                <w:szCs w:val="20"/>
                <w:shd w:val="clear" w:color="auto" w:fill="FFFFFF"/>
              </w:rPr>
              <w:br/>
              <w:t xml:space="preserve">1090 Wien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AVR Code: R…</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Beklagte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Schinden und Schaffen AG</w:t>
            </w:r>
            <w:r>
              <w:rPr>
                <w:rFonts w:ascii="Arial" w:hAnsi="Arial" w:eastAsia="Arial" w:cs="Arial"/>
                <w:color w:val="000000"/>
                <w:position w:val="0"/>
                <w:sz w:val="20"/>
                <w:szCs w:val="20"/>
                <w:shd w:val="clear" w:color="auto" w:fill="FFFFFF"/>
              </w:rPr>
              <w:br/>
              <w:t xml:space="preserve">Plattensteinergasse 3</w:t>
            </w:r>
            <w:r>
              <w:rPr>
                <w:rFonts w:ascii="Arial" w:hAnsi="Arial" w:eastAsia="Arial" w:cs="Arial"/>
                <w:color w:val="000000"/>
                <w:position w:val="0"/>
                <w:sz w:val="20"/>
                <w:szCs w:val="20"/>
                <w:shd w:val="clear" w:color="auto" w:fill="FFFFFF"/>
              </w:rPr>
              <w:br/>
              <w:t xml:space="preserve">1220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Entlassungsanfechtung (JN EUR 5.000,–/GGG
EUR 750,–/RATG EUR 5.000,–)</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Klage</w:t>
      </w:r>
    </w:p>
    <w:p>
      <w:pPr>
        <w:widowControl w:val="on"/>
        <w:pBdr/>
        <w:spacing w:before="140" w:after="240" w:line="288" w:lineRule="auto"/>
        <w:ind w:left="0" w:right="0"/>
        <w:jc w:val="right"/>
      </w:pPr>
      <w:r>
        <w:rPr>
          <w:rFonts w:ascii="Arial" w:hAnsi="Arial" w:eastAsia="Arial" w:cs="Arial"/>
          <w:color w:val="000000"/>
          <w:sz w:val="20"/>
          <w:szCs w:val="20"/>
        </w:rPr>
        <w:t xml:space="preserve">2-fach</w:t>
      </w:r>
      <w:r>
        <w:rPr>
          <w:rFonts w:ascii="Arial" w:hAnsi="Arial" w:eastAsia="Arial" w:cs="Arial"/>
          <w:color w:val="000000"/>
          <w:sz w:val="20"/>
          <w:szCs w:val="20"/>
        </w:rPr>
        <w:br/>
        <w:t xml:space="preserve">6 Beilagen</w:t>
      </w:r>
    </w:p>
    <w:p>
      <w:pPr>
        <w:widowControl w:val="on"/>
        <w:pBdr/>
        <w:spacing w:before="140" w:after="240" w:line="288" w:lineRule="auto"/>
        <w:ind w:left="0" w:right="0"/>
        <w:jc w:val="left"/>
      </w:pPr>
      <w:r>
        <w:rPr>
          <w:rFonts w:ascii="Arial" w:hAnsi="Arial" w:eastAsia="Arial" w:cs="Arial"/>
          <w:color w:val="000000"/>
          <w:sz w:val="20"/>
          <w:szCs w:val="20"/>
        </w:rPr>
        <w:t xml:space="preserve">In umseits näher bezeichneter Rechtssache hat der Kläger
Rechtsanwalt Mag. Karl Kämpfer mit seiner Vertretung beauftragt.
Durch seinen ausgewiesenen Vertreter erhebt der Kläger folgende</w:t>
      </w:r>
    </w:p>
    <w:p>
      <w:pPr>
        <w:pageBreakBefore w:val="on"/>
      </w:pPr>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Klage</w:t>
      </w:r>
    </w:p>
    <w:p>
      <w:pPr>
        <w:widowControl w:val="on"/>
        <w:pBdr/>
        <w:spacing w:before="140" w:after="240" w:line="288" w:lineRule="auto"/>
        <w:ind w:left="0" w:right="0"/>
        <w:jc w:val="left"/>
      </w:pPr>
      <w:r>
        <w:rPr>
          <w:rFonts w:ascii="Arial" w:hAnsi="Arial" w:eastAsia="Arial" w:cs="Arial"/>
          <w:color w:val="000000"/>
          <w:sz w:val="20"/>
          <w:szCs w:val="20"/>
        </w:rPr>
        <w:t xml:space="preserve">Der Kläger und die beklagte Partei standen seit 34 Jahren in
einem Dienstverhältnis. Das Dienstverhältnis wurde am 01.02.1980
eingegangen und auf unbestimmte Dauer abgeschlossen. Der Kläger
verrichtete Sekretariatsaufgaben für die beklagte Partei. Die
Arbeitszeit des Klägers war Montag bis Freitag von 08:00–16:00 Uhr.
Der gewöhnliche Arbeitsort war in der Plattensteinergasse 3, A-1220
Wien. Die benötigten Arbeitsmittel wurden von der beklagten Partei
zur Verfügung gestellt. Der Kläger bezog am Ende des
Dienstverhältnisses ein fixes Einkommen von EUR 3.200,– brutto
von der beklagten Partei.</w:t>
      </w:r>
    </w:p>
    <w:p>
      <w:pPr>
        <w:widowControl w:val="on"/>
        <w:pBdr/>
        <w:spacing w:before="140" w:after="240" w:line="288" w:lineRule="auto"/>
        <w:ind w:left="0" w:right="0"/>
        <w:jc w:val="left"/>
      </w:pPr>
      <w:r>
        <w:rPr>
          <w:rFonts w:ascii="Arial" w:hAnsi="Arial" w:eastAsia="Arial" w:cs="Arial"/>
          <w:color w:val="000000"/>
          <w:sz w:val="20"/>
          <w:szCs w:val="20"/>
        </w:rPr>
        <w:t xml:space="preserve">Der Kläger war leitender Sekretär der beklagten Partei und hatte
das Aufsehen über die gesamte Sekretariatsabteilung bestehend aus 5
Mitarbeitern und Mitarbeiterinnen.</w:t>
      </w:r>
    </w:p>
    <w:p>
      <w:pPr>
        <w:widowControl w:val="on"/>
        <w:pBdr/>
        <w:spacing w:before="140" w:after="240" w:line="288" w:lineRule="auto"/>
        <w:ind w:left="0" w:right="0"/>
        <w:jc w:val="left"/>
      </w:pPr>
      <w:r>
        <w:rPr>
          <w:rFonts w:ascii="Arial" w:hAnsi="Arial" w:eastAsia="Arial" w:cs="Arial"/>
          <w:color w:val="000000"/>
          <w:sz w:val="20"/>
          <w:szCs w:val="20"/>
        </w:rPr>
        <w:t xml:space="preserve">Der Kläger hat jedoch jedenfalls Arbeitnehmereigenschaft, da ihm
keinerlei maßgeblicher Einfluss auf die Führung des Betriebes
zukommt.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Dienstvertrag vom 01.02.1980 Beilage ./A</w:t>
            </w:r>
            <w:r>
              <w:rPr>
                <w:rFonts w:ascii="Arial" w:hAnsi="Arial" w:eastAsia="Arial" w:cs="Arial"/>
                <w:color w:val="000000"/>
                <w:position w:val="0"/>
                <w:sz w:val="20"/>
                <w:szCs w:val="20"/>
                <w:shd w:val="clear" w:color="auto" w:fill="FFFFFF"/>
              </w:rPr>
              <w:br/>
              <w:t xml:space="preserve">Lohnzettel vom 31.08.2014 Beilage ./B</w:t>
            </w:r>
            <w:r>
              <w:rPr>
                <w:rFonts w:ascii="Arial" w:hAnsi="Arial" w:eastAsia="Arial" w:cs="Arial"/>
                <w:color w:val="000000"/>
                <w:position w:val="0"/>
                <w:sz w:val="20"/>
                <w:szCs w:val="20"/>
                <w:shd w:val="clear" w:color="auto" w:fill="FFFFFF"/>
              </w:rPr>
              <w:br/>
              <w:t xml:space="preserve">Zeugen</w:t>
            </w:r>
            <w:r>
              <w:rPr>
                <w:rFonts w:ascii="Arial" w:hAnsi="Arial" w:eastAsia="Arial" w:cs="Arial"/>
                <w:color w:val="000000"/>
                <w:position w:val="0"/>
                <w:sz w:val="20"/>
                <w:szCs w:val="20"/>
                <w:shd w:val="clear" w:color="auto" w:fill="FFFFFF"/>
              </w:rPr>
              <w:br/>
              <w:t xml:space="preserve">PV</w:t>
            </w:r>
          </w:p>
        </w:tc>
      </w:tr>
    </w:tbl>
    <w:p>
      <w:pPr>
        <w:widowControl w:val="on"/>
        <w:pBdr/>
        <w:spacing w:before="140" w:after="240" w:line="288" w:lineRule="auto"/>
        <w:ind w:left="0" w:right="0"/>
        <w:jc w:val="left"/>
      </w:pPr>
      <w:r>
        <w:rPr>
          <w:rFonts w:ascii="Arial" w:hAnsi="Arial" w:eastAsia="Arial" w:cs="Arial"/>
          <w:color w:val="000000"/>
          <w:sz w:val="20"/>
          <w:szCs w:val="20"/>
        </w:rPr>
        <w:t xml:space="preserve">Die beklagte Partei betreibt ein Bauunternehmen, das auf den Bau
von Wasserkraftwerken spezialisiert ist. Der Kläger arbeitete in
der Verwaltungszentrale der beklagten Partei. Die beklagte Partei
ist ein Unternehmen, das aktuell 98 Arbeitnehmer beschäftigt. Somit
ist gem § 40 ArbVG ein Betriebsrat einzurichten. Der
Betriebsrat der Schinden und Schaffen AG besteht aus 4 gewählten
Mitgliedern und wurde am 01.02.1983 eingerichtet.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Betriebsvereinbarung vom 20.04.1983 Beilage ./C</w:t>
            </w:r>
            <w:r>
              <w:rPr>
                <w:rFonts w:ascii="Arial" w:hAnsi="Arial" w:eastAsia="Arial" w:cs="Arial"/>
                <w:color w:val="000000"/>
                <w:position w:val="0"/>
                <w:sz w:val="20"/>
                <w:szCs w:val="20"/>
                <w:shd w:val="clear" w:color="auto" w:fill="FFFFFF"/>
              </w:rPr>
              <w:br/>
              <w:t xml:space="preserve">Zeugen</w:t>
            </w:r>
            <w:r>
              <w:rPr>
                <w:rFonts w:ascii="Arial" w:hAnsi="Arial" w:eastAsia="Arial" w:cs="Arial"/>
                <w:color w:val="000000"/>
                <w:position w:val="0"/>
                <w:sz w:val="20"/>
                <w:szCs w:val="20"/>
                <w:shd w:val="clear" w:color="auto" w:fill="FFFFFF"/>
              </w:rPr>
              <w:br/>
              <w:t xml:space="preserve">PV</w:t>
            </w:r>
          </w:p>
        </w:tc>
      </w:tr>
    </w:tbl>
    <w:p>
      <w:pPr>
        <w:widowControl w:val="on"/>
        <w:pBdr/>
        <w:spacing w:before="140" w:after="240" w:line="288" w:lineRule="auto"/>
        <w:ind w:left="0" w:right="0"/>
        <w:jc w:val="left"/>
      </w:pPr>
      <w:r>
        <w:rPr>
          <w:rFonts w:ascii="Arial" w:hAnsi="Arial" w:eastAsia="Arial" w:cs="Arial"/>
          <w:color w:val="000000"/>
          <w:sz w:val="20"/>
          <w:szCs w:val="20"/>
        </w:rPr>
        <w:t xml:space="preserve">Die beklagte Partei sprach am 17.11.2014 vertreten durch die
Geschäftsführerin Beate Biestig vor der gesamten
Sekretariatsabteilung die Entlassung des Klägers aus. Die
Entlassung wurde dem Kläger gegenüber mündlich verkündet, sowie
mittels RSb-Brief zugestellt. Als wichtiger Grund wurde von der
beklagten Partei Untreue angegeben. Der Kläger soll vorsätzlich und
bewusst einen Auftrag zum Bau eines Wasserkraftwerkes in der
Steiermark verschwiegen haben, wodurch der potentielle Auftraggeber
den Auftrag dem Konkurrenzunternehmen Wasserbau AG erteilt
habe.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Schriftliche Entlassung vom 17.11.2014 Beilage ./D</w:t>
            </w:r>
            <w:r>
              <w:rPr>
                <w:rFonts w:ascii="Arial" w:hAnsi="Arial" w:eastAsia="Arial" w:cs="Arial"/>
                <w:color w:val="000000"/>
                <w:position w:val="0"/>
                <w:sz w:val="20"/>
                <w:szCs w:val="20"/>
                <w:shd w:val="clear" w:color="auto" w:fill="FFFFFF"/>
              </w:rPr>
              <w:br/>
              <w:t xml:space="preserve">Zeugen</w:t>
            </w:r>
            <w:r>
              <w:rPr>
                <w:rFonts w:ascii="Arial" w:hAnsi="Arial" w:eastAsia="Arial" w:cs="Arial"/>
                <w:color w:val="000000"/>
                <w:position w:val="0"/>
                <w:sz w:val="20"/>
                <w:szCs w:val="20"/>
                <w:shd w:val="clear" w:color="auto" w:fill="FFFFFF"/>
              </w:rPr>
              <w:br/>
              <w:t xml:space="preserve">PV</w:t>
            </w:r>
          </w:p>
        </w:tc>
      </w:tr>
    </w:tbl>
    <w:p>
      <w:pPr>
        <w:widowControl w:val="on"/>
        <w:pBdr/>
        <w:spacing w:before="140" w:after="240" w:line="288" w:lineRule="auto"/>
        <w:ind w:left="0" w:right="0"/>
        <w:jc w:val="left"/>
      </w:pPr>
      <w:r>
        <w:rPr>
          <w:rFonts w:ascii="Arial" w:hAnsi="Arial" w:eastAsia="Arial" w:cs="Arial"/>
          <w:color w:val="000000"/>
          <w:sz w:val="20"/>
          <w:szCs w:val="20"/>
        </w:rPr>
        <w:t xml:space="preserve">Der Betriebsrat wurde eine Woche nach erfolgter Entlassung von
der beklagten Partei über die Entlassung des Klägers informiert.
Der Betriebsrat gab keinerlei Stellungnahme ab. Der Kläger forderte
den Betriebsrat am 26.11.2014 auf, die erfolgte Entlassung
anzufechten. Der Betriebsrat blieb untätig, dadurch ging das Recht
zur Anfechtung der Entlassung auf den Kläger über. Der Kläger ist
somit aktivlegitimiert, die Entlassung anzufechten.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Schriftliche Aufforderung zur Anfechtung der Entlassung vom
26.11.2014 Beilage ./E</w:t>
            </w:r>
            <w:r>
              <w:rPr>
                <w:rFonts w:ascii="Arial" w:hAnsi="Arial" w:eastAsia="Arial" w:cs="Arial"/>
                <w:color w:val="000000"/>
                <w:position w:val="0"/>
                <w:sz w:val="20"/>
                <w:szCs w:val="20"/>
                <w:shd w:val="clear" w:color="auto" w:fill="FFFFFF"/>
              </w:rPr>
              <w:br/>
              <w:t xml:space="preserve">Zeugen</w:t>
            </w:r>
            <w:r>
              <w:rPr>
                <w:rFonts w:ascii="Arial" w:hAnsi="Arial" w:eastAsia="Arial" w:cs="Arial"/>
                <w:color w:val="000000"/>
                <w:position w:val="0"/>
                <w:sz w:val="20"/>
                <w:szCs w:val="20"/>
                <w:shd w:val="clear" w:color="auto" w:fill="FFFFFF"/>
              </w:rPr>
              <w:br/>
              <w:t xml:space="preserve">PV</w:t>
            </w:r>
          </w:p>
        </w:tc>
      </w:tr>
    </w:tbl>
    <w:p>
      <w:pPr>
        <w:widowControl w:val="on"/>
        <w:pBdr/>
        <w:spacing w:before="140" w:after="240" w:line="288" w:lineRule="auto"/>
        <w:ind w:left="0" w:right="0"/>
        <w:jc w:val="left"/>
      </w:pPr>
      <w:r>
        <w:rPr>
          <w:rFonts w:ascii="Arial" w:hAnsi="Arial" w:eastAsia="Arial" w:cs="Arial"/>
          <w:color w:val="000000"/>
          <w:sz w:val="20"/>
          <w:szCs w:val="20"/>
        </w:rPr>
        <w:t xml:space="preserve">Der Kläger ist 54 Jahre alt und ist seit 34 Jahren bei der
beklagten Partei angestellt. Der Kläger erfüllte seine Aufgaben
immer gewissenhaft und stieg sehr schnell in der Hierarchie des
Unternehmens auf. Er hatte bis zuletzt die Leitung der
Sekretariatsabteilung inne und genießt hohes Ansehen in seiner
Abteilung. Dem Kläger wurde am 20.03.2009 ein vorläufiges
Dienstzeugnis ausgestellt, in dem seine Arbeit als höchst
zufriedenstellend bezeichnet wird.</w:t>
      </w:r>
    </w:p>
    <w:p>
      <w:pPr>
        <w:widowControl w:val="on"/>
        <w:pBdr/>
        <w:spacing w:before="140" w:after="240" w:line="288" w:lineRule="auto"/>
        <w:ind w:left="0" w:right="0"/>
        <w:jc w:val="left"/>
      </w:pPr>
      <w:r>
        <w:rPr>
          <w:rFonts w:ascii="Arial" w:hAnsi="Arial" w:eastAsia="Arial" w:cs="Arial"/>
          <w:color w:val="000000"/>
          <w:sz w:val="20"/>
          <w:szCs w:val="20"/>
        </w:rPr>
        <w:t xml:space="preserve">Der Kläger hat 4 Kinder im Alter von 7, 10, 14 und 16 Jahren.
Die Frau des Klägers ist 2010 verstorben. Der Kläger bezieht nur
Einkünfte aus seiner Tätigkeit bei der beklagten Partei. Der Kläger
hat keinerlei sonstiges nennenswertes Vermögen. Die Entlassung wäre
daher in höchstem Maße sozial ungerechtfertigt.</w:t>
      </w:r>
    </w:p>
    <w:p>
      <w:pPr>
        <w:widowControl w:val="on"/>
        <w:pBdr/>
        <w:spacing w:before="140" w:after="240" w:line="288" w:lineRule="auto"/>
        <w:ind w:left="0" w:right="0"/>
        <w:jc w:val="left"/>
      </w:pPr>
      <w:r>
        <w:rPr>
          <w:rFonts w:ascii="Arial" w:hAnsi="Arial" w:eastAsia="Arial" w:cs="Arial"/>
          <w:color w:val="000000"/>
          <w:sz w:val="20"/>
          <w:szCs w:val="20"/>
        </w:rPr>
        <w:t xml:space="preserve">Der von der beklagten Partei behauptete Entlassungsgrund ist
nicht gegeben. Der Kläger leugnet nicht, einen Fehler gemacht zu
haben, jedoch wurde der Auftrag dem Arbeitgeber keineswegs bewusst
und vorsätzlich verschwiegen. Es handelte sich vielmehr um eine
Unachtsamkeit des Klägers. Der Auftrag kam per Post und wurde dem
Kläger mit mehreren anderen Unterlagen, unter anderem sehr viel
Werbung, auf den Schreibtisch gelegt. Der Kläger hat in einer
Unachtsamkeit den Auftrag mit anderen unwichtigen Schreiben und der
Werbung geschreddert. Man kann dem Kläger hier keinesfalls
Schädigungsabsicht vorwerfen. Es handelt sich hierbei um den ersten
Fehler des Klägers in seiner 34-jährigen Beschäftigungszeit bei der
beklagten Partei.</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Dienstzeugnis vom 20.03.2009 Beilage ./F</w:t>
            </w:r>
            <w:r>
              <w:rPr>
                <w:rFonts w:ascii="Arial" w:hAnsi="Arial" w:eastAsia="Arial" w:cs="Arial"/>
                <w:color w:val="000000"/>
                <w:position w:val="0"/>
                <w:sz w:val="20"/>
                <w:szCs w:val="20"/>
                <w:shd w:val="clear" w:color="auto" w:fill="FFFFFF"/>
              </w:rPr>
              <w:br/>
              <w:t xml:space="preserve">Zeugen</w:t>
            </w:r>
            <w:r>
              <w:rPr>
                <w:rFonts w:ascii="Arial" w:hAnsi="Arial" w:eastAsia="Arial" w:cs="Arial"/>
                <w:color w:val="000000"/>
                <w:position w:val="0"/>
                <w:sz w:val="20"/>
                <w:szCs w:val="20"/>
                <w:shd w:val="clear" w:color="auto" w:fill="FFFFFF"/>
              </w:rPr>
              <w:br/>
              <w:t xml:space="preserve">PV</w:t>
            </w:r>
          </w:p>
        </w:tc>
      </w:tr>
    </w:tbl>
    <w:p>
      <w:pPr>
        <w:widowControl w:val="on"/>
        <w:pBdr/>
        <w:spacing w:before="140" w:after="240" w:line="288" w:lineRule="auto"/>
        <w:ind w:left="0" w:right="0"/>
        <w:jc w:val="left"/>
      </w:pPr>
      <w:r>
        <w:rPr>
          <w:rFonts w:ascii="Arial" w:hAnsi="Arial" w:eastAsia="Arial" w:cs="Arial"/>
          <w:color w:val="000000"/>
          <w:sz w:val="20"/>
          <w:szCs w:val="20"/>
        </w:rPr>
        <w:t xml:space="preserve">Die Entlassung wurde zu Unrecht ausgesprochen, da die klagende
Partei keinerlei Entlassungsgrund gesetzt hat. Weiters ist die
klagende Partei schon mindestens 6 Monate bei der beklagten Partei
beschäftigt und wäre die Kündigung in höchstem Maße sozial
ungerechtfertigt.</w:t>
      </w:r>
    </w:p>
    <w:p>
      <w:pPr>
        <w:widowControl w:val="on"/>
        <w:pBdr/>
        <w:spacing w:before="140" w:after="240" w:line="288" w:lineRule="auto"/>
        <w:ind w:left="0" w:right="0"/>
        <w:jc w:val="left"/>
      </w:pPr>
      <w:r>
        <w:rPr>
          <w:rFonts w:ascii="Arial" w:hAnsi="Arial" w:eastAsia="Arial" w:cs="Arial"/>
          <w:color w:val="000000"/>
          <w:sz w:val="20"/>
          <w:szCs w:val="20"/>
        </w:rPr>
        <w:t xml:space="preserve">Das Arbeits- und Sozialgericht Wien ist zuständig, da sich der
Sitz der Schinden und Schaffen GmbH im 22. Wiener Gemeindebezirk
befindet und sich der Streit auf diesen Betrieb bezieht. Daher
fällt diese Streitigkeit in den Sprengel des Arbeits- und
Sozialgerichts Wien.</w:t>
      </w:r>
    </w:p>
    <w:p>
      <w:pPr>
        <w:widowControl w:val="on"/>
        <w:pBdr/>
        <w:spacing w:before="140" w:after="240" w:line="288" w:lineRule="auto"/>
        <w:ind w:left="0" w:right="0"/>
        <w:jc w:val="left"/>
      </w:pPr>
      <w:r>
        <w:rPr>
          <w:rFonts w:ascii="Arial" w:hAnsi="Arial" w:eastAsia="Arial" w:cs="Arial"/>
          <w:color w:val="000000"/>
          <w:sz w:val="20"/>
          <w:szCs w:val="20"/>
        </w:rPr>
        <w:t xml:space="preserve">Auf Grundlage der obigen Ausführungen begehrt die klagende
Partei folgendes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Urteil:</w:t>
      </w:r>
    </w:p>
    <w:p>
      <w:pPr>
        <w:numPr>
          <w:ilvl w:val="0"/>
          <w:numId w:val="5189384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durch die beklagte Partei am 17.11.2014 ausgesprochene
Entlassung des Klägers wird für rechtsunwirksam erklärt.</w:t>
      </w:r>
    </w:p>
    <w:p>
      <w:pPr>
        <w:numPr>
          <w:ilvl w:val="0"/>
          <w:numId w:val="5189384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beklagte Partei ist schuldig, die Prozesskosten binnen 14
Tagen zuhanden des Klagevertreters zu zahlen.</w:t>
      </w:r>
    </w:p>
    <w:p>
      <w:pPr>
        <w:widowControl w:val="on"/>
        <w:pBdr/>
        <w:spacing w:before="140" w:after="240" w:line="288" w:lineRule="auto"/>
        <w:ind w:left="0" w:right="0"/>
        <w:jc w:val="left"/>
      </w:pPr>
      <w:r>
        <w:rPr>
          <w:rFonts w:ascii="Arial" w:hAnsi="Arial" w:eastAsia="Arial" w:cs="Arial"/>
          <w:color w:val="000000"/>
          <w:sz w:val="20"/>
          <w:szCs w:val="20"/>
        </w:rPr>
        <w:t xml:space="preserve">Friedrich Fleißig</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b/>
          <w:bCs/>
          <w:color w:val="000000"/>
          <w:sz w:val="20"/>
          <w:szCs w:val="20"/>
        </w:rPr>
        <w:t xml:space="preserve">1</w:t>
      </w:r>
      <w:r>
        <w:rPr>
          <w:rFonts w:ascii="Arial" w:hAnsi="Arial" w:eastAsia="Arial" w:cs="Arial"/>
          <w:color w:val="000000"/>
          <w:sz w:val="20"/>
          <w:szCs w:val="20"/>
        </w:rPr>
        <w:br/>
        <w:t xml:space="preserve">Gegenstand dieses Musters ist die Anfechtung einer
ungerechtfertigten Entlassung, bei gleichzeitigem Vorliegen eines
verpönten Kündigungsmotives. Ziel der Klage ist es, eine von einem
Arbeitgeber in ungerechtfertigter Weise ausgesprochene Entlassung
zu bekämpfen und zu bewirken, dass das Dienstverhältnis fortgesetzt
wird. Sofern die Voraussetzung einer Anfechtung, siehe dazu
sogleich im Folgenden, nicht vorliegen, verbleibt dem – auch zu
Unrecht – Entlassenen nur die Möglichkeit, Schadenersatzansprüche
geltend zu machen.</w:t>
      </w:r>
    </w:p>
    <w:p>
      <w:pPr>
        <w:widowControl w:val="on"/>
        <w:pBdr/>
        <w:spacing w:before="140" w:after="240" w:line="288" w:lineRule="auto"/>
        <w:ind w:left="0" w:right="0"/>
        <w:jc w:val="left"/>
      </w:pPr>
      <w:r>
        <w:rPr>
          <w:rFonts w:ascii="Arial" w:hAnsi="Arial" w:eastAsia="Arial" w:cs="Arial"/>
          <w:color w:val="000000"/>
          <w:sz w:val="20"/>
          <w:szCs w:val="20"/>
        </w:rPr>
        <w:t xml:space="preserve">Wird der Klage stattgegeben, führt das zur sofortigen
Weiterführung des Arbeits- bzw Dienstverhältnisses. Weiters hat der
Arbeit- bzw Dienstgeber dem zu Unrecht Entlassenen all jenes zu
ersetzen, das der zu Unrecht Entlassene in der Zeit, in der das
Arbeits- bzw Dienstverhältnis beendet war, verdient hätte.</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Gebühreneinzug: gebührenbefreit</w:t>
            </w:r>
            <w:r>
              <w:rPr>
                <w:rFonts w:ascii="Arial" w:hAnsi="Arial" w:eastAsia="Arial" w:cs="Arial"/>
                <w:color w:val="000000"/>
                <w:position w:val="0"/>
                <w:sz w:val="20"/>
                <w:szCs w:val="20"/>
                <w:shd w:val="clear" w:color="auto" w:fill="FFFFFF"/>
              </w:rPr>
              <w:br/>
              <w:t xml:space="preserve">Über Konto: …</w:t>
            </w:r>
            <w:r>
              <w:rPr>
                <w:rFonts w:ascii="Arial" w:hAnsi="Arial" w:eastAsia="Arial" w:cs="Arial"/>
                <w:color w:val="000000"/>
                <w:position w:val="0"/>
                <w:sz w:val="20"/>
                <w:szCs w:val="20"/>
                <w:shd w:val="clear" w:color="auto" w:fill="FFFFFF"/>
              </w:rPr>
              <w:br/>
              <w:t xml:space="preserve">Bei der … Bank</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2</w:t>
      </w:r>
      <w:r>
        <w:rPr>
          <w:rFonts w:ascii="Arial" w:hAnsi="Arial" w:eastAsia="Arial" w:cs="Arial"/>
          <w:color w:val="000000"/>
          <w:sz w:val="20"/>
          <w:szCs w:val="20"/>
        </w:rPr>
        <w:br/>
        <w:t xml:space="preserve">Die Bemessungsgrundlage beträgt gem §16 Abs1 lit a GGG
bei arbeitsrechtlichen Streitigkeiten EUR 750,–, soweit kein
Geldbetrag Gegenstand der Klage ist. Arbeitsrechtliche
Streitigkeiten sind gem Tarifpost 1 Anm 8 GGG bis zu einem
Streitwert von EUR 1.450,– gebührenfrei. Die Berechtigung zum
Gebühreneinzug könnte entfallen.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per WebERV</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 das</w:t>
            </w:r>
            <w:r>
              <w:rPr>
                <w:rFonts w:ascii="Arial" w:hAnsi="Arial" w:eastAsia="Arial" w:cs="Arial"/>
                <w:color w:val="000000"/>
                <w:position w:val="0"/>
                <w:sz w:val="20"/>
                <w:szCs w:val="20"/>
                <w:shd w:val="clear" w:color="auto" w:fill="FFFFFF"/>
              </w:rPr>
              <w:br/>
              <w:t xml:space="preserve">Arbeits- und Sozialgericht Wien</w:t>
            </w:r>
            <w:r>
              <w:rPr>
                <w:rFonts w:ascii="Arial" w:hAnsi="Arial" w:eastAsia="Arial" w:cs="Arial"/>
                <w:color w:val="000000"/>
                <w:position w:val="0"/>
                <w:sz w:val="20"/>
                <w:szCs w:val="20"/>
                <w:shd w:val="clear" w:color="auto" w:fill="FFFFFF"/>
              </w:rPr>
              <w:br/>
              <w:t xml:space="preserve">Wickenburggasse 8</w:t>
            </w:r>
            <w:r>
              <w:rPr>
                <w:rFonts w:ascii="Arial" w:hAnsi="Arial" w:eastAsia="Arial" w:cs="Arial"/>
                <w:color w:val="000000"/>
                <w:position w:val="0"/>
                <w:sz w:val="20"/>
                <w:szCs w:val="20"/>
                <w:shd w:val="clear" w:color="auto" w:fill="FFFFFF"/>
              </w:rPr>
              <w:br/>
              <w:t xml:space="preserve">1080 Wien</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3</w:t>
      </w:r>
      <w:r>
        <w:rPr>
          <w:rFonts w:ascii="Arial" w:hAnsi="Arial" w:eastAsia="Arial" w:cs="Arial"/>
          <w:color w:val="000000"/>
          <w:sz w:val="20"/>
          <w:szCs w:val="20"/>
        </w:rPr>
        <w:br/>
        <w:t xml:space="preserve">Zum Briefkopf siehe „Schriftsatz – Grundmuster“.</w:t>
      </w:r>
    </w:p>
    <w:p>
      <w:pPr>
        <w:widowControl w:val="on"/>
        <w:pBdr/>
        <w:spacing w:before="140" w:after="240" w:line="288" w:lineRule="auto"/>
        <w:ind w:left="0" w:right="0"/>
        <w:jc w:val="left"/>
      </w:pPr>
      <w:r>
        <w:rPr>
          <w:rFonts w:ascii="Arial" w:hAnsi="Arial" w:eastAsia="Arial" w:cs="Arial"/>
          <w:b/>
          <w:bCs/>
          <w:color w:val="000000"/>
          <w:sz w:val="20"/>
          <w:szCs w:val="20"/>
        </w:rPr>
        <w:t xml:space="preserve">4</w:t>
      </w:r>
      <w:r>
        <w:rPr>
          <w:rFonts w:ascii="Arial" w:hAnsi="Arial" w:eastAsia="Arial" w:cs="Arial"/>
          <w:color w:val="000000"/>
          <w:sz w:val="20"/>
          <w:szCs w:val="20"/>
        </w:rPr>
        <w:br/>
        <w:t xml:space="preserve">Zur Eingabe per WebERV siehe „Schriftsatz – Grundmuster.</w:t>
      </w:r>
    </w:p>
    <w:p>
      <w:pPr>
        <w:widowControl w:val="on"/>
        <w:pBdr/>
        <w:spacing w:before="140" w:after="240" w:line="288" w:lineRule="auto"/>
        <w:ind w:left="0" w:right="0"/>
        <w:jc w:val="left"/>
      </w:pPr>
      <w:r>
        <w:rPr>
          <w:rFonts w:ascii="Arial" w:hAnsi="Arial" w:eastAsia="Arial" w:cs="Arial"/>
          <w:b/>
          <w:bCs/>
          <w:color w:val="000000"/>
          <w:sz w:val="20"/>
          <w:szCs w:val="20"/>
        </w:rPr>
        <w:t xml:space="preserve">5</w:t>
      </w:r>
      <w:r>
        <w:rPr>
          <w:rFonts w:ascii="Arial" w:hAnsi="Arial" w:eastAsia="Arial" w:cs="Arial"/>
          <w:color w:val="000000"/>
          <w:sz w:val="20"/>
          <w:szCs w:val="20"/>
        </w:rPr>
        <w:br/>
        <w:t xml:space="preserve">Aus Gründen der Übersichtlichkeit empfiehlt sich die Angabe des
Datums auf der ersten Seite jedes Schriftsatzes.</w:t>
      </w:r>
    </w:p>
    <w:p>
      <w:pPr>
        <w:widowControl w:val="on"/>
        <w:pBdr/>
        <w:spacing w:before="140" w:after="240" w:line="288" w:lineRule="auto"/>
        <w:ind w:left="0" w:right="0"/>
        <w:jc w:val="left"/>
      </w:pPr>
      <w:r>
        <w:rPr>
          <w:rFonts w:ascii="Arial" w:hAnsi="Arial" w:eastAsia="Arial" w:cs="Arial"/>
          <w:b/>
          <w:bCs/>
          <w:color w:val="000000"/>
          <w:sz w:val="20"/>
          <w:szCs w:val="20"/>
        </w:rPr>
        <w:t xml:space="preserve">6</w:t>
      </w:r>
      <w:r>
        <w:rPr>
          <w:rFonts w:ascii="Arial" w:hAnsi="Arial" w:eastAsia="Arial" w:cs="Arial"/>
          <w:color w:val="000000"/>
          <w:sz w:val="20"/>
          <w:szCs w:val="20"/>
        </w:rPr>
        <w:br/>
        <w:t xml:space="preserve">Gem § 3 ASGG besteht eine ausschließliche Zuständigkeit der
Landesgerichte als Arbeits- und Sozialgericht. Für den
Gerichtsprengel Wien besteht eine ausschließliche Zuständigkeit des
Arbeits- und Sozialgerichts Wien.</w:t>
      </w:r>
    </w:p>
    <w:p>
      <w:pPr>
        <w:widowControl w:val="on"/>
        <w:pBdr/>
        <w:spacing w:before="140" w:after="240" w:line="288" w:lineRule="auto"/>
        <w:ind w:left="0" w:right="0"/>
        <w:jc w:val="left"/>
      </w:pPr>
      <w:r>
        <w:rPr>
          <w:rFonts w:ascii="Arial" w:hAnsi="Arial" w:eastAsia="Arial" w:cs="Arial"/>
          <w:b/>
          <w:bCs/>
          <w:color w:val="000000"/>
          <w:sz w:val="20"/>
          <w:szCs w:val="20"/>
        </w:rPr>
        <w:t xml:space="preserve">7</w:t>
      </w:r>
      <w:r>
        <w:rPr>
          <w:rFonts w:ascii="Arial" w:hAnsi="Arial" w:eastAsia="Arial" w:cs="Arial"/>
          <w:color w:val="000000"/>
          <w:sz w:val="20"/>
          <w:szCs w:val="20"/>
        </w:rPr>
        <w:br/>
        <w:t xml:space="preserve">Die örtliche Zuständigkeit ergibt sich aus § 4 Abs 1
ASGG. Es kann vom Kläger das Gericht, in dessen Sprengel der
Dienstnehmer seinen Wohnsitz oder gewöhnlichen Aufenthalt im
Zeitpunkt der Entlassungserklärung hatte, das Unternehmen seinen
Sitz hat, regelmäßig wenigstens ein Teil der Arbeit zu leisten war,
das Entgelt zu zahlen war oder bei grenzüberschreitender Entsendung
oder Arbeitskräfteüberlassung aus EWR-Mitgliedstaaten die Arbeit zu
leisten war, angerufen werden.</w:t>
      </w:r>
    </w:p>
    <w:p>
      <w:pPr>
        <w:widowControl w:val="on"/>
        <w:pBdr/>
        <w:spacing w:before="140" w:after="240" w:line="288" w:lineRule="auto"/>
        <w:ind w:left="0" w:right="0"/>
        <w:jc w:val="left"/>
      </w:pPr>
      <w:r>
        <w:rPr>
          <w:rFonts w:ascii="Arial" w:hAnsi="Arial" w:eastAsia="Arial" w:cs="Arial"/>
          <w:color w:val="000000"/>
          <w:sz w:val="20"/>
          <w:szCs w:val="20"/>
        </w:rPr>
        <w:t xml:space="preserve">Es würde den Intentionen des Gesetzes widersprechen, würde in
einer Arbeitsrechtssache, die vom Arbeitnehmer anhängig gemacht
worden ist und für die er den Gerichtsstand nach § 4
Abs 1 Z 1 lit a ASGG in Anspruch genommen hat, über
Antrag des Arbeitgebers die ausschließlich in dessen Interesse
gelegene Delegierung des für dessen Wohnsitz oder Aufenthalt
zuständigen Gerichts verfügt werden (RIS-Justiz RS0046357).</w:t>
      </w:r>
    </w:p>
    <w:p>
      <w:pPr>
        <w:widowControl w:val="on"/>
        <w:pBdr/>
        <w:spacing w:before="140" w:after="240" w:line="288" w:lineRule="auto"/>
        <w:ind w:left="0" w:right="0"/>
        <w:jc w:val="left"/>
      </w:pPr>
      <w:r>
        <w:rPr>
          <w:rFonts w:ascii="Arial" w:hAnsi="Arial" w:eastAsia="Arial" w:cs="Arial"/>
          <w:b/>
          <w:bCs/>
          <w:color w:val="000000"/>
          <w:sz w:val="20"/>
          <w:szCs w:val="20"/>
        </w:rPr>
        <w:t xml:space="preserve">8</w:t>
      </w:r>
      <w:r>
        <w:rPr>
          <w:rFonts w:ascii="Arial" w:hAnsi="Arial" w:eastAsia="Arial" w:cs="Arial"/>
          <w:color w:val="000000"/>
          <w:sz w:val="20"/>
          <w:szCs w:val="20"/>
        </w:rPr>
        <w:br/>
        <w:t xml:space="preserve">Gem § 9 Abs 1 ASGG kann in Arbeits- und
Sozialrechtssachen durch Parteienvereinbarung die sachliche
Zuständigkeit nicht, die örtliche Zuständigkeit nur für einen
bestimmten einzelnen Rechtsstreit geändert werden. Schiedsklauseln
sind zudem gem § 9 Abs 2 ASGG unwirksam.</w:t>
      </w:r>
    </w:p>
    <w:p>
      <w:pPr>
        <w:widowControl w:val="on"/>
        <w:pBdr/>
        <w:spacing w:before="140" w:after="240" w:line="288" w:lineRule="auto"/>
        <w:ind w:left="0" w:right="0"/>
        <w:jc w:val="left"/>
      </w:pPr>
      <w:r>
        <w:rPr>
          <w:rFonts w:ascii="Arial" w:hAnsi="Arial" w:eastAsia="Arial" w:cs="Arial"/>
          <w:color w:val="000000"/>
          <w:sz w:val="20"/>
          <w:szCs w:val="20"/>
        </w:rPr>
        <w:t xml:space="preserve">Nach § 9 Abs 2 ASGG iVm § 40 TAG können
betriebsverfassungsrechtliche Streitigkeiten nach § 50
Abs 2 ASGG auch im Anwendungsbereich des TAG nicht einem
Schiedsgericht übergeben werden. Wird das Klagebegehren auf
§ 105 Abs 3 ArbVG gestützt und damit begründet, dass die
Beklagte eine Kündigung eines unbefristeten Dienstverhältnisses
ausgesprochen hätte, ist trotz Vorliegens einer Schiedsvereinbarung
für Streitigkeiten aus dem Dienstvertrag die Zuständigkeit des
Arbeits- und Sozialgerichtes gegeben (RIS-Justiz RS0133660).</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Klagende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Friedrich Fleißig</w:t>
            </w:r>
            <w:r>
              <w:rPr>
                <w:rFonts w:ascii="Arial" w:hAnsi="Arial" w:eastAsia="Arial" w:cs="Arial"/>
                <w:color w:val="000000"/>
                <w:position w:val="0"/>
                <w:sz w:val="20"/>
                <w:szCs w:val="20"/>
                <w:shd w:val="clear" w:color="auto" w:fill="FFFFFF"/>
              </w:rPr>
              <w:br/>
              <w:t xml:space="preserve">Sommergasse 20</w:t>
            </w:r>
            <w:r>
              <w:rPr>
                <w:rFonts w:ascii="Arial" w:hAnsi="Arial" w:eastAsia="Arial" w:cs="Arial"/>
                <w:color w:val="000000"/>
                <w:position w:val="0"/>
                <w:sz w:val="20"/>
                <w:szCs w:val="20"/>
                <w:shd w:val="clear" w:color="auto" w:fill="FFFFFF"/>
              </w:rPr>
              <w:br/>
              <w:t xml:space="preserve">1190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Beklagte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Schinden und Schaffen AG</w:t>
            </w:r>
            <w:r>
              <w:rPr>
                <w:rFonts w:ascii="Arial" w:hAnsi="Arial" w:eastAsia="Arial" w:cs="Arial"/>
                <w:color w:val="000000"/>
                <w:position w:val="0"/>
                <w:sz w:val="20"/>
                <w:szCs w:val="20"/>
                <w:shd w:val="clear" w:color="auto" w:fill="FFFFFF"/>
              </w:rPr>
              <w:br/>
              <w:t xml:space="preserve">Plattensteinergasse 3</w:t>
            </w:r>
            <w:r>
              <w:rPr>
                <w:rFonts w:ascii="Arial" w:hAnsi="Arial" w:eastAsia="Arial" w:cs="Arial"/>
                <w:color w:val="000000"/>
                <w:position w:val="0"/>
                <w:sz w:val="20"/>
                <w:szCs w:val="20"/>
                <w:shd w:val="clear" w:color="auto" w:fill="FFFFFF"/>
              </w:rPr>
              <w:br/>
              <w:t xml:space="preserve">1220 Wien</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9</w:t>
      </w:r>
      <w:r>
        <w:rPr>
          <w:rFonts w:ascii="Arial" w:hAnsi="Arial" w:eastAsia="Arial" w:cs="Arial"/>
          <w:color w:val="000000"/>
          <w:sz w:val="20"/>
          <w:szCs w:val="20"/>
        </w:rPr>
        <w:br/>
        <w:t xml:space="preserve">Zu den allgemeinen Erfordernissen der Parteienbezeichnung siehe
„Schriftsatz – Grundmuster“.</w:t>
      </w:r>
    </w:p>
    <w:p>
      <w:pPr>
        <w:widowControl w:val="on"/>
        <w:pBdr/>
        <w:spacing w:before="140" w:after="240" w:line="288" w:lineRule="auto"/>
        <w:ind w:left="0" w:right="0"/>
        <w:jc w:val="left"/>
      </w:pPr>
      <w:r>
        <w:rPr>
          <w:rFonts w:ascii="Arial" w:hAnsi="Arial" w:eastAsia="Arial" w:cs="Arial"/>
          <w:b/>
          <w:bCs/>
          <w:color w:val="000000"/>
          <w:sz w:val="20"/>
          <w:szCs w:val="20"/>
        </w:rPr>
        <w:t xml:space="preserve">10</w:t>
      </w:r>
      <w:r>
        <w:rPr>
          <w:rFonts w:ascii="Arial" w:hAnsi="Arial" w:eastAsia="Arial" w:cs="Arial"/>
          <w:color w:val="000000"/>
          <w:sz w:val="20"/>
          <w:szCs w:val="20"/>
        </w:rPr>
        <w:br/>
        <w:t xml:space="preserve">Zur Bedeutung der exakten Parteienbezeichnung im Detail siehe
Muster „Klage (Allgemein, Leistung, lang)“.</w:t>
      </w:r>
    </w:p>
    <w:p>
      <w:pPr>
        <w:widowControl w:val="on"/>
        <w:pBdr/>
        <w:spacing w:before="140" w:after="240" w:line="288" w:lineRule="auto"/>
        <w:ind w:left="0" w:right="0"/>
        <w:jc w:val="left"/>
      </w:pPr>
      <w:r>
        <w:rPr>
          <w:rFonts w:ascii="Arial" w:hAnsi="Arial" w:eastAsia="Arial" w:cs="Arial"/>
          <w:b/>
          <w:bCs/>
          <w:color w:val="000000"/>
          <w:sz w:val="20"/>
          <w:szCs w:val="20"/>
        </w:rPr>
        <w:t xml:space="preserve">11</w:t>
      </w:r>
      <w:r>
        <w:rPr>
          <w:rFonts w:ascii="Arial" w:hAnsi="Arial" w:eastAsia="Arial" w:cs="Arial"/>
          <w:color w:val="000000"/>
          <w:sz w:val="20"/>
          <w:szCs w:val="20"/>
        </w:rPr>
        <w:br/>
        <w:t xml:space="preserve">Die Aktivlegitimation zur Anfechtung einer Entlassung kommt primär
dem Betriebsrat zu, sofern ein Betriebsrat eingerichtet ist. Wäre
ein Betriebsrat zu errichten, besteht ein solcher jedoch nicht,
kann der Arbeitnehmer selbst innerhalb von 2 Wochen nach Zugang der
Entlassung diese selbst anfechten (siehe im Detail dazu Punkt
24).</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Mag. Karl Kämpfer</w:t>
            </w:r>
            <w:r>
              <w:rPr>
                <w:rFonts w:ascii="Arial" w:hAnsi="Arial" w:eastAsia="Arial" w:cs="Arial"/>
                <w:color w:val="000000"/>
                <w:position w:val="0"/>
                <w:sz w:val="20"/>
                <w:szCs w:val="20"/>
                <w:shd w:val="clear" w:color="auto" w:fill="FFFFFF"/>
              </w:rPr>
              <w:br/>
              <w:t xml:space="preserve">Kolingasse 15</w:t>
            </w:r>
            <w:r>
              <w:rPr>
                <w:rFonts w:ascii="Arial" w:hAnsi="Arial" w:eastAsia="Arial" w:cs="Arial"/>
                <w:color w:val="000000"/>
                <w:position w:val="0"/>
                <w:sz w:val="20"/>
                <w:szCs w:val="20"/>
                <w:shd w:val="clear" w:color="auto" w:fill="FFFFFF"/>
              </w:rPr>
              <w:br/>
              <w:t xml:space="preserve">1090 Wien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AVR Code: R…</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12</w:t>
      </w:r>
      <w:r>
        <w:rPr>
          <w:rFonts w:ascii="Arial" w:hAnsi="Arial" w:eastAsia="Arial" w:cs="Arial"/>
          <w:color w:val="000000"/>
          <w:sz w:val="20"/>
          <w:szCs w:val="20"/>
        </w:rPr>
        <w:br/>
        <w:t xml:space="preserve">Zur Angabe des Verfahrensvertreters siehe „Schriftsatz –
Grundmuster“.</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Entlassungsanfechtung (JN EUR 5.000,–/GGG
EUR 750,–/RATG EUR 5.000,–)</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13</w:t>
      </w:r>
      <w:r>
        <w:rPr>
          <w:rFonts w:ascii="Arial" w:hAnsi="Arial" w:eastAsia="Arial" w:cs="Arial"/>
          <w:color w:val="000000"/>
          <w:sz w:val="20"/>
          <w:szCs w:val="20"/>
        </w:rPr>
        <w:br/>
        <w:t xml:space="preserve">Gem § 16 Abs 1 GGG ist die Bemessungsgrundlage nach GGG
EUR 750,–. Bei Unterlassung der Bewertung des
Streitgegenstandes gilt gem § 56 Abs 2 JN ein
Streitwert iHv EUR 5.000,–. Sofern keine besondere Bewertung
nach RATG erfolgt, ist der Streitwert gem § 4 RATG nach
§ 56 JN zu bewerten.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b/>
                <w:bCs/>
                <w:color w:val="000000"/>
                <w:position w:val="0"/>
                <w:sz w:val="20"/>
                <w:szCs w:val="20"/>
                <w:shd w:val="clear" w:color="auto" w:fill="FFFFFF"/>
              </w:rPr>
              <w:t xml:space="preserve">Klage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2-fach</w:t>
            </w:r>
            <w:r>
              <w:rPr>
                <w:rFonts w:ascii="Arial" w:hAnsi="Arial" w:eastAsia="Arial" w:cs="Arial"/>
                <w:color w:val="000000"/>
                <w:position w:val="0"/>
                <w:sz w:val="20"/>
                <w:szCs w:val="20"/>
                <w:shd w:val="clear" w:color="auto" w:fill="FFFFFF"/>
              </w:rPr>
              <w:br/>
              <w:t xml:space="preserve">6 Beilagen</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14</w:t>
      </w:r>
      <w:r>
        <w:rPr>
          <w:rFonts w:ascii="Arial" w:hAnsi="Arial" w:eastAsia="Arial" w:cs="Arial"/>
          <w:color w:val="000000"/>
          <w:sz w:val="20"/>
          <w:szCs w:val="20"/>
        </w:rPr>
        <w:br/>
        <w:t xml:space="preserve">Die Klage sollte stets auf der ersten Seite so bezeichnet werden,
um die Verarbeitung zu vereinfachen.</w:t>
      </w:r>
    </w:p>
    <w:p>
      <w:pPr>
        <w:widowControl w:val="on"/>
        <w:pBdr/>
        <w:spacing w:before="140" w:after="240" w:line="288" w:lineRule="auto"/>
        <w:ind w:left="0" w:right="0"/>
        <w:jc w:val="left"/>
      </w:pPr>
      <w:r>
        <w:rPr>
          <w:rFonts w:ascii="Arial" w:hAnsi="Arial" w:eastAsia="Arial" w:cs="Arial"/>
          <w:b/>
          <w:bCs/>
          <w:color w:val="000000"/>
          <w:sz w:val="20"/>
          <w:szCs w:val="20"/>
        </w:rPr>
        <w:t xml:space="preserve">15</w:t>
      </w:r>
      <w:r>
        <w:rPr>
          <w:rFonts w:ascii="Arial" w:hAnsi="Arial" w:eastAsia="Arial" w:cs="Arial"/>
          <w:color w:val="000000"/>
          <w:sz w:val="20"/>
          <w:szCs w:val="20"/>
        </w:rPr>
        <w:br/>
        <w:t xml:space="preserve">Zur Angabe der Anzahl an Ausfertigungen im WebERV siehe
„Schriftsatz – Grundmuster“.</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In umseits näher bezeichneter Rechtssache hat der Kläger
Rechtsanwalt Mag. Karl Kämpfer mit seiner Vertretung beauftragt.
Durch seinen ausgewiesenen Vertreter erhebt der Kläger folgende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b/>
                <w:bCs/>
                <w:color w:val="000000"/>
                <w:position w:val="0"/>
                <w:sz w:val="20"/>
                <w:szCs w:val="20"/>
                <w:shd w:val="clear" w:color="auto" w:fill="FFFFFF"/>
              </w:rPr>
              <w:t xml:space="preserve">Klage</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16</w:t>
      </w:r>
      <w:r>
        <w:rPr>
          <w:rFonts w:ascii="Arial" w:hAnsi="Arial" w:eastAsia="Arial" w:cs="Arial"/>
          <w:color w:val="000000"/>
          <w:sz w:val="20"/>
          <w:szCs w:val="20"/>
        </w:rPr>
        <w:br/>
        <w:t xml:space="preserve">Der Klagevertreter sollte sich in der Klage stets zunächst auf die
erteilte Vollmacht berufen. Diese Berufung ersetzt
gem § 30 Abs 2 ZPO auch den urkundlichen Nachweis
der Vollmacht. In 1. Instanz können sich Parteien auch selbst
vertreten. Zudem sind im Verfahren nach ASGG die besonderen
Vertretungsregelungen des § 40 ASGG, insbesondere
„qualifizierte Personen“, zu beachten.</w:t>
      </w:r>
    </w:p>
    <w:p>
      <w:pPr>
        <w:widowControl w:val="on"/>
        <w:pBdr/>
        <w:spacing w:before="140" w:after="240" w:line="288" w:lineRule="auto"/>
        <w:ind w:left="0" w:right="0"/>
        <w:jc w:val="left"/>
      </w:pPr>
      <w:r>
        <w:rPr>
          <w:rFonts w:ascii="Arial" w:hAnsi="Arial" w:eastAsia="Arial" w:cs="Arial"/>
          <w:color w:val="000000"/>
          <w:sz w:val="20"/>
          <w:szCs w:val="20"/>
        </w:rPr>
        <w:t xml:space="preserve">Grundsätzlich ist für Rechtsstreitigkeiten, in denen kein
absoluter Anwaltszwang herrscht, die Kündigung oder der Widerruf
der Vollmacht gegenüber Gericht und Gegenpartei erst mit der
Mitteilung an sie wirksam. Wenngleich also im Innenverhältnis das
Vollmachtsverhältnis durch Kündigung oder Widerruf im Zeitpunkt der
Willenserklärung erlischt, ist der Eintritt der Wirkungen gegenüber
Gericht und Gegenpartei von deren Benachrichtigung abhängig. Das
Gericht hat, auch wenn ihm auf andere Weise Widerruf oder Kündigung
der Vollmacht zur Kenntnis gelangt sind, bis zum Einlangen des
Schriftsatzes den bisherigen Bevollmächtigten als voll befugten
Parteienvertreter zu behandeln (§ 36 Abs 1 ZPO; EvBl
1976/68; EvBl 1963/451; ZBl 1937/707). Im bezirksgerichtlichen
Verfahren könnte der Schriftsatz auch durch gerichtliches Protokoll
ersetzt werden, wenn die Partei nicht durch Rechtsanwälte vertreten
ist (§ 434 Abs 1 ZPO; EvBl 1964/228). Diese auch in
Arbeitsrechtssachen und Sozialrechtssachen geltende
Verfahrensbesonderheit ist allerdings ausgeschlossen, wenn die
Partei durch eine qualifizierte Person vertreten ist (§§ 39
Abs 2 Z 2, 40 Abs 1 ASGG) (RIS-Justiz
RS0109541).</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Kläger und die beklagte Partei standen seit 34 Jahren in
einem Dienstverhältnis. Das Dienstverhältnis wurde am 01.02.1980
eingegangen und auf unbestimmte Dauer abgeschlossen. Der Kläger
verrichtete Sekretariatsaufgaben für die beklagte Partei. Die
Arbeitszeit des Klägers war Montag bis Freitag von 08:00–16:00 Uhr.
Der gewöhnliche Arbeitsort war in der Plattensteinergasse 3 1220
Wien. Die benötigten Arbeitsmittel wurden von der beklagten Partei
zur Verfügung gestellt. Der Kläger bezog am Ende des
Dienstverhältnisses ein fixes Einkommen von EUR 3.200,– brutto
von der beklagten Partei.</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Kläger war leitender Sekretär der beklagten Partei und hatte
das Aufsehen über die gesamte Sekretariatsabteilung bestehend aus 5
Mitarbeitern und Mitarbeiterinnen.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Kläger hat jedoch jedenfalls Arbeitnehmereigenschaft, da ihm
keinerlei maßgeblicher Einfluss auf die Führung des Betriebes
zukommt.</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17</w:t>
      </w:r>
      <w:r>
        <w:rPr>
          <w:rFonts w:ascii="Arial" w:hAnsi="Arial" w:eastAsia="Arial" w:cs="Arial"/>
          <w:color w:val="000000"/>
          <w:sz w:val="20"/>
          <w:szCs w:val="20"/>
        </w:rPr>
        <w:br/>
        <w:t xml:space="preserve">In der Entlassungsanfechtung ist vorzubringen, dass ein Arbeits-
bzw Dienstverhältnis zwischen der beklagten Partei und dem Kläger
besteht. Nachdem im gegenständlichen Fall das verpönte Motiv einer
Sozialwidrigkeit geltend gemacht wird, ist vorzubringen, dass das
Dienstverhältnis zum Zeitpunkt der ungerechtfertigten Entlassung
zumindest 6 Monate bestanden hat (vgl § 105 Abs 3
Z 2 ArbVG).</w:t>
      </w:r>
    </w:p>
    <w:p>
      <w:pPr>
        <w:widowControl w:val="on"/>
        <w:pBdr/>
        <w:spacing w:before="140" w:after="240" w:line="288" w:lineRule="auto"/>
        <w:ind w:left="0" w:right="0"/>
        <w:jc w:val="left"/>
      </w:pPr>
      <w:r>
        <w:rPr>
          <w:rFonts w:ascii="Arial" w:hAnsi="Arial" w:eastAsia="Arial" w:cs="Arial"/>
          <w:color w:val="000000"/>
          <w:sz w:val="20"/>
          <w:szCs w:val="20"/>
        </w:rPr>
        <w:t xml:space="preserve">Bei der Beurteilung des Anfechtungsgrundes des § 105
Abs 3 Z 2 ArbVG ist auf den Zeitpunkt der durch die
angefochtene Kündigung herbeigeführten Beendigung des
Arbeitsverhältnisses (Konkretisierungszeitpunkt) abzustellen
(RIS-Justiz RS0051772).</w:t>
      </w:r>
    </w:p>
    <w:p>
      <w:pPr>
        <w:widowControl w:val="on"/>
        <w:pBdr/>
        <w:spacing w:before="140" w:after="240" w:line="288" w:lineRule="auto"/>
        <w:ind w:left="0" w:right="0"/>
        <w:jc w:val="left"/>
      </w:pPr>
      <w:r>
        <w:rPr>
          <w:rFonts w:ascii="Arial" w:hAnsi="Arial" w:eastAsia="Arial" w:cs="Arial"/>
          <w:color w:val="000000"/>
          <w:sz w:val="20"/>
          <w:szCs w:val="20"/>
        </w:rPr>
        <w:t xml:space="preserve">Bei der Beurteilung des Anfechtungsgrundes des § 105
Abs 3 Z 2 ArbVG ist unter Anlegung eines objektiven
Maßstabes primär zu prüfen, ob wesentliche Interessen des
gekündigten – seit wenigstens sechs Monate beschäftigten –
Arbeitnehmers beeinträchtigt sind. Für diese Umstände ist der
anfechtende Kläger behauptungspflichtig und beweispflichtig
(RIS-Justiz RS0051746).</w:t>
      </w:r>
    </w:p>
    <w:p>
      <w:pPr>
        <w:widowControl w:val="on"/>
        <w:pBdr/>
        <w:spacing w:before="140" w:after="240" w:line="288" w:lineRule="auto"/>
        <w:ind w:left="0" w:right="0"/>
        <w:jc w:val="left"/>
      </w:pPr>
      <w:r>
        <w:rPr>
          <w:rFonts w:ascii="Arial" w:hAnsi="Arial" w:eastAsia="Arial" w:cs="Arial"/>
          <w:color w:val="000000"/>
          <w:sz w:val="20"/>
          <w:szCs w:val="20"/>
        </w:rPr>
        <w:t xml:space="preserve">Sowohl bei der Beurteilung der Beeinträchtigung der Interessen
des Arbeitnehmers als auch der Betriebsbedingtheit der Kündigung
muss die künftige Entwicklung der Verhältnisse nach der Kündigung
und der Beendigung des Arbeitsverhältnisses herangezogen werden.
Diese sind in die Beurteilungsgrundlage einzubeziehen, wenn sie mit
der angefochtenen Kündigung noch in einem sachlichen und zeitlichen
Zusammenhang stehen. Eine erst nach Anfechtung der Kündigung, aber
noch vor der Beendigung des Arbeitsverhältnisses, erfolgte
Postenausschreibung durch den Arbeitgeber ist daher bei der
Entscheidung jedenfalls zu berücksichtigen (RIS-Justiz
RS0051785).</w:t>
      </w:r>
    </w:p>
    <w:p>
      <w:pPr>
        <w:widowControl w:val="on"/>
        <w:pBdr/>
        <w:spacing w:before="140" w:after="240" w:line="288" w:lineRule="auto"/>
        <w:ind w:left="0" w:right="0"/>
        <w:jc w:val="left"/>
      </w:pPr>
      <w:r>
        <w:rPr>
          <w:rFonts w:ascii="Arial" w:hAnsi="Arial" w:eastAsia="Arial" w:cs="Arial"/>
          <w:b/>
          <w:bCs/>
          <w:color w:val="000000"/>
          <w:sz w:val="20"/>
          <w:szCs w:val="20"/>
        </w:rPr>
        <w:t xml:space="preserve">18</w:t>
      </w:r>
      <w:r>
        <w:rPr>
          <w:rFonts w:ascii="Arial" w:hAnsi="Arial" w:eastAsia="Arial" w:cs="Arial"/>
          <w:color w:val="000000"/>
          <w:sz w:val="20"/>
          <w:szCs w:val="20"/>
        </w:rPr>
        <w:br/>
        <w:t xml:space="preserve">Weiters ist vorzubringen, dass dem Kläger Arbeitnehmereigenschaft
zukommt. Hier ist einerseits entscheidend, die wesentlichen
Merkmale eines Arbeit- bzw Dienstnehmers anzuführen. Diese sind die
persönliche Abhängigkeit (Einordnung in den Betrieb,
Weisungsgebundenheit, disziplinäre Verantwortung usw), weiters die
wirtschaftliche Abhängigkeit, sowie Anspruch auf Entgelt.</w:t>
      </w:r>
    </w:p>
    <w:p>
      <w:pPr>
        <w:widowControl w:val="on"/>
        <w:pBdr/>
        <w:spacing w:before="140" w:after="240" w:line="288" w:lineRule="auto"/>
        <w:ind w:left="0" w:right="0"/>
        <w:jc w:val="left"/>
      </w:pPr>
      <w:r>
        <w:rPr>
          <w:rFonts w:ascii="Arial" w:hAnsi="Arial" w:eastAsia="Arial" w:cs="Arial"/>
          <w:color w:val="000000"/>
          <w:sz w:val="20"/>
          <w:szCs w:val="20"/>
        </w:rPr>
        <w:t xml:space="preserve">Es ist außerdem aufzuzeigen, dass der Kläger nicht unter eine
der Ziffern des § 36 Abs 2 ArbVG zu subsumieren ist, da
ihm ansonsten keine Arbeitnehmereigenschaft mehr zukommen
würde.</w:t>
      </w:r>
    </w:p>
    <w:p>
      <w:pPr>
        <w:widowControl w:val="on"/>
        <w:pBdr/>
        <w:spacing w:before="140" w:after="240" w:line="288" w:lineRule="auto"/>
        <w:ind w:left="0" w:right="0"/>
        <w:jc w:val="left"/>
      </w:pPr>
      <w:r>
        <w:rPr>
          <w:rFonts w:ascii="Arial" w:hAnsi="Arial" w:eastAsia="Arial" w:cs="Arial"/>
          <w:color w:val="000000"/>
          <w:sz w:val="20"/>
          <w:szCs w:val="20"/>
        </w:rPr>
        <w:t xml:space="preserve">Keine Arbeitnehmer gem § 36 Abs 2 ArbVG sind:</w:t>
      </w:r>
    </w:p>
    <w:p>
      <w:pPr>
        <w:numPr>
          <w:ilvl w:val="0"/>
          <w:numId w:val="30102663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in Betrieben einer juristischen Person, die Mitglieder des
Organs, das zur gesetzlichen Vertretung der juristischen Person
berufen ist</w:t>
      </w:r>
    </w:p>
    <w:p>
      <w:pPr>
        <w:numPr>
          <w:ilvl w:val="0"/>
          <w:numId w:val="30102663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leitende Angestellte, denen maßgebender Einfluss auf die
Führung des Betriebes zusteht</w:t>
      </w:r>
    </w:p>
    <w:p>
      <w:pPr>
        <w:numPr>
          <w:ilvl w:val="0"/>
          <w:numId w:val="30102663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Personen, die vorwiegend zu ihrer Erziehung, Behandlung,
Heilung oder Wiedereingliederung beschäftigt werden, sofern sie
nicht aufgrund eines Arbeitsvertrages beschäftigt sind</w:t>
      </w:r>
    </w:p>
    <w:p>
      <w:pPr>
        <w:numPr>
          <w:ilvl w:val="0"/>
          <w:numId w:val="30102663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Personen, die im Vollzug einer verwaltungsbehördlichen oder
gerichtlichen Verwahrungshaft, Untersuchungshaft, Freiheitsstrafe
oder freiheitsentziehenden vorbeugenden Maßnahme beschäftigt
werden</w:t>
      </w:r>
    </w:p>
    <w:p>
      <w:pPr>
        <w:numPr>
          <w:ilvl w:val="0"/>
          <w:numId w:val="30102663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Personen, deren Beschäftigung vorwiegend durch religiöse,
karitative oder soziale Motive bestimmt ist, sofern sie nicht
aufgrund eines Arbeitsvertrages beschäftigt sind</w:t>
      </w:r>
    </w:p>
    <w:p>
      <w:pPr>
        <w:numPr>
          <w:ilvl w:val="0"/>
          <w:numId w:val="30102663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Personen, die zu Schulungs- und Ausbildungszwecken kurzfristig
beschäftigt werden</w:t>
      </w:r>
    </w:p>
    <w:p>
      <w:pPr>
        <w:widowControl w:val="on"/>
        <w:pBdr/>
        <w:spacing w:before="140" w:after="240" w:line="288" w:lineRule="auto"/>
        <w:ind w:left="0" w:right="0"/>
        <w:jc w:val="left"/>
      </w:pPr>
      <w:r>
        <w:rPr>
          <w:rFonts w:ascii="Arial" w:hAnsi="Arial" w:eastAsia="Arial" w:cs="Arial"/>
          <w:color w:val="000000"/>
          <w:sz w:val="20"/>
          <w:szCs w:val="20"/>
        </w:rPr>
        <w:t xml:space="preserve">Der Geschäftsführer einer GmbH ist zu einer Klage nach den
§§ 105, 106 ArbVG nicht legitimiert; hinsichtlich des
Arbeitnehmerbegriffes des II. Teils des ArbVG, der die gesetzliche
Betriebsverfassung behandelt, ist nämlich nicht vom allgemeinen
Arbeitnehmerbegriff auszugehen, wie er von Lehre und Rechtsprechung
aufgrund des § 1151 ABGB entwickelt wurde, sondern von dem
davon abweichenden Begriff des § 36 ArbVG (RIS-Justiz
RS0050959).</w:t>
      </w:r>
    </w:p>
    <w:p>
      <w:pPr>
        <w:widowControl w:val="on"/>
        <w:pBdr/>
        <w:spacing w:before="140" w:after="240" w:line="288" w:lineRule="auto"/>
        <w:ind w:left="0" w:right="0"/>
        <w:jc w:val="left"/>
      </w:pPr>
      <w:r>
        <w:rPr>
          <w:rFonts w:ascii="Arial" w:hAnsi="Arial" w:eastAsia="Arial" w:cs="Arial"/>
          <w:color w:val="000000"/>
          <w:sz w:val="20"/>
          <w:szCs w:val="20"/>
        </w:rPr>
        <w:t xml:space="preserve">Maßgeblich ist vor allem die Entscheidungsbefugnis im
personellen Bereich, weil sie den Interessengegensatz zu den
übrigen Belegschaftsmitgliedern bewirkt, der der Ausnahmebestimmung
des § 36 Abs 2 Z 3 ArbVG zugrunde liegt (RIS-Justiz
RS0053034).</w:t>
      </w:r>
    </w:p>
    <w:p>
      <w:pPr>
        <w:widowControl w:val="on"/>
        <w:pBdr/>
        <w:spacing w:before="140" w:after="240" w:line="288" w:lineRule="auto"/>
        <w:ind w:left="0" w:right="0"/>
        <w:jc w:val="left"/>
      </w:pPr>
      <w:r>
        <w:rPr>
          <w:rFonts w:ascii="Arial" w:hAnsi="Arial" w:eastAsia="Arial" w:cs="Arial"/>
          <w:color w:val="000000"/>
          <w:sz w:val="20"/>
          <w:szCs w:val="20"/>
        </w:rPr>
        <w:t xml:space="preserve">Bei den Arbeitgeberfunktionen, die die Unterstellung unter den
Begriff des leitenden Angestellten rechtfertigen können, steht der
Einfluss auf die Eingehung und Auflösung von Arbeitsverhältnissen
im Vordergrund. Maßgeblich ist aber auch die Ingerenz in
Gehaltsfragen, bei Vorrückungen, bei der Urlaubseinteilung, bei der
Anordnung von Überstunden, bei der Ausübung des Direktionsrechtes
und bei der Aufrechterhaltung der Disziplin im Betrieb. Völlige
Weisungsfreiheit ist hingegen nicht erforderlich und kann mit
Rücksicht auf die aus der Sicht des Arbeitsvertragsrechtes gegebene
Arbeitnehmereigenschaft auch des leitenden Angestellten nicht
verlangt werden (RIS-Justiz RS0050979).</w:t>
      </w:r>
    </w:p>
    <w:p>
      <w:pPr>
        <w:widowControl w:val="on"/>
        <w:pBdr/>
        <w:spacing w:before="140" w:after="240" w:line="288" w:lineRule="auto"/>
        <w:ind w:left="0" w:right="0"/>
        <w:jc w:val="left"/>
      </w:pPr>
      <w:r>
        <w:rPr>
          <w:rFonts w:ascii="Arial" w:hAnsi="Arial" w:eastAsia="Arial" w:cs="Arial"/>
          <w:color w:val="000000"/>
          <w:sz w:val="20"/>
          <w:szCs w:val="20"/>
        </w:rPr>
        <w:t xml:space="preserve">Als leitender Angestellter im Sinne dieser Gesetzesbestimmung
ist vor allem ein Arbeitnehmer anzusehen, der durch seine Position
an der Seite des Arbeitgebers und durch Ausübung von
Arbeitgeberfunktionen in einen Interessengegensatz zu anderen
Arbeitnehmern geraten kann. Auch wenn der Einfluss des Angestellten
auf eine Betriebsabteilung eingeschränkt ist, kann er in die
Interessensphären anderer Arbeitnehmer eingreifen und in einen
Interessengegensatz zu diesen geraten (RIS-Justiz RS0051002).</w:t>
      </w:r>
    </w:p>
    <w:p>
      <w:pPr>
        <w:widowControl w:val="on"/>
        <w:pBdr/>
        <w:spacing w:before="140" w:after="240" w:line="288" w:lineRule="auto"/>
        <w:ind w:left="0" w:right="0"/>
        <w:jc w:val="left"/>
      </w:pPr>
      <w:r>
        <w:rPr>
          <w:rFonts w:ascii="Arial" w:hAnsi="Arial" w:eastAsia="Arial" w:cs="Arial"/>
          <w:color w:val="000000"/>
          <w:sz w:val="20"/>
          <w:szCs w:val="20"/>
        </w:rPr>
        <w:t xml:space="preserve">Hat ein Abteilungsleiter Dispositionsbefugnisse bezüglich der
Arbeitsverhältnisse der ihm unterstellten Mitarbeiter - Begründung
und Auflösung von Dienstverhältnissen, Vereinbarung des Gehalts im
Rahmen eines vorgegebenen Budgets, Entscheidung darüber, in welchen
Bereichen die Arbeitnehmer eingesetzt werden - dann ist er
leitender Angestellter im Sinne dieser Gesetzesbestimmung
(RIS-Justiz RS0051011).</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tblGrid>
      <w:tr>
        <w:trPr>
          <w:trHeight w:val="0" w:hRule="atLeast"/>
        </w:trPr>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beklagte Partei betreibt ein Bauunternehmen, das auf den Bau
von Wasserkraftwerken spezialisiert ist. Der Kläger arbeitete in
der Verwaltungszentrale der beklagten Partei. Die beklagte Partei
ist ein Unternehmen, das aktuell 98 Arbeitnehmer beschäftigt. Somit
ist gem § 40 ArbVG ein Betriebsrat einzurichten. Der
Betriebsrat der Schinden und Schaffen AG besteht aus 4 gewählten
Mitgliedern und wurde am 01.02.1983 eingerichtet.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Betriebsvereinbarung vom 20.04.1983 Beilage ./C</w:t>
            </w:r>
            <w:r>
              <w:rPr>
                <w:rFonts w:ascii="Arial" w:hAnsi="Arial" w:eastAsia="Arial" w:cs="Arial"/>
                <w:color w:val="000000"/>
                <w:position w:val="0"/>
                <w:sz w:val="20"/>
                <w:szCs w:val="20"/>
                <w:shd w:val="clear" w:color="auto" w:fill="FFFFFF"/>
              </w:rPr>
              <w:br/>
              <w:t xml:space="preserve">Zeugen</w:t>
            </w:r>
            <w:r>
              <w:rPr>
                <w:rFonts w:ascii="Arial" w:hAnsi="Arial" w:eastAsia="Arial" w:cs="Arial"/>
                <w:color w:val="000000"/>
                <w:position w:val="0"/>
                <w:sz w:val="20"/>
                <w:szCs w:val="20"/>
                <w:shd w:val="clear" w:color="auto" w:fill="FFFFFF"/>
              </w:rPr>
              <w:br/>
              <w:t xml:space="preserve">PV</w:t>
            </w:r>
          </w:p>
        </w:tc>
      </w:tr>
    </w:tbl>
    <w:p>
      <w:pPr>
        <w:widowControl w:val="on"/>
        <w:pBdr/>
        <w:spacing w:before="140" w:after="240" w:line="288" w:lineRule="auto"/>
        <w:ind w:left="0" w:right="0"/>
        <w:jc w:val="left"/>
      </w:pPr>
      <w:r>
        <w:rPr>
          <w:rFonts w:ascii="Arial" w:hAnsi="Arial" w:eastAsia="Arial" w:cs="Arial"/>
          <w:color w:val="000000"/>
          <w:sz w:val="20"/>
          <w:szCs w:val="20"/>
        </w:rPr>
        <w:t xml:space="preserve">Der Anfechtende muss beweisen, dass die Kündigung wesentliche
Interessen des Gekündigten beeinträchtigt. Im Rahmen der Prüfung
dieses Tatbestandsmerkmales ist auch das Einkommen des Ehegatten zu
berücksichtigen und die Sozialwidrigkeit der Kündigung zu
verneinen, wenn in Anbetracht des hohen Einkommens des Ehegatten
durch den Wegfall des erheblich niedrigeren Einkommens des
Gekündigten eine fühlbar ins Gewicht fallende Verschlechterung der
wirtschaftlichen Lage des Gekündigten nicht zu besorgen ist
(RIS-Justiz RS0051845).</w:t>
      </w:r>
    </w:p>
    <w:p>
      <w:pPr>
        <w:widowControl w:val="on"/>
        <w:pBdr/>
        <w:spacing w:before="140" w:after="240" w:line="288" w:lineRule="auto"/>
        <w:ind w:left="0" w:right="0"/>
        <w:jc w:val="left"/>
      </w:pPr>
      <w:r>
        <w:rPr>
          <w:rFonts w:ascii="Arial" w:hAnsi="Arial" w:eastAsia="Arial" w:cs="Arial"/>
          <w:b/>
          <w:bCs/>
          <w:color w:val="000000"/>
          <w:sz w:val="20"/>
          <w:szCs w:val="20"/>
        </w:rPr>
        <w:t xml:space="preserve">19</w:t>
      </w:r>
      <w:r>
        <w:rPr>
          <w:rFonts w:ascii="Arial" w:hAnsi="Arial" w:eastAsia="Arial" w:cs="Arial"/>
          <w:color w:val="000000"/>
          <w:sz w:val="20"/>
          <w:szCs w:val="20"/>
        </w:rPr>
        <w:br/>
        <w:t xml:space="preserve">Wesentlich ist, dass es sich beim Arbeitgeber um einen Betrieb
gem § 34 Abs1 ArbVG handelt, sowie dass ein Betriebsrat
errichtet ist bzw zu errichten wäre, da nur in einem Betrieb, in
dem ein Betriebsrat besteht oder zumindest zu errichten wäre, der
allgemeine Kündigungs- bzw Entlassungsschutz gem ArbVG
besteht. Wie bereits eingangs angeführt, steht einem zu Unrecht
entlassenen Arbeitnehmer nur die Möglichkeit zur Erhebung von
Schadenersatzansprüchen offen.</w:t>
      </w:r>
    </w:p>
    <w:p>
      <w:pPr>
        <w:widowControl w:val="on"/>
        <w:pBdr/>
        <w:spacing w:before="140" w:after="240" w:line="288" w:lineRule="auto"/>
        <w:ind w:left="0" w:right="0"/>
        <w:jc w:val="left"/>
      </w:pPr>
      <w:r>
        <w:rPr>
          <w:rFonts w:ascii="Arial" w:hAnsi="Arial" w:eastAsia="Arial" w:cs="Arial"/>
          <w:color w:val="000000"/>
          <w:sz w:val="20"/>
          <w:szCs w:val="20"/>
        </w:rPr>
        <w:t xml:space="preserve">Gem § 40 ArbVG ist in jedem Betrieb ein Betriebsrat zu
errichten, in dem dauernd mindestens fünf stimmberechtigte
Arbeitnehmer beschäftigt werden. Wie oben schon erwähnt, kommt die
Befugnis, eine Entlassung anzufechten, primär dem Betriebsrat zu.
Sollte in einem an sich betriebsratspflichtigen Betrieb jedoch kein
Betriebsrat bestehen, ist der Arbeitnehmer selbst berechtigt,
innerhalb einer Frist von zwei Wochen nach Zugang der Entlassung,
diese vor Gericht anzufechten.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tblGrid>
      <w:tr>
        <w:trPr>
          <w:trHeight w:val="0" w:hRule="atLeast"/>
        </w:trPr>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beklagte Partei sprach am 17.11.2014 vertreten durch die
Geschäftsführerin Beate Biestig vor der gesamten
Sekretariatsabteilung die Entlassung des Klägers aus. Die
Entlassung wurde dem Kläger gegenüber mündlich verkündet, sowie
mittels RSb-Brief zugestellt. Als wichtiger Grund wurde von der
beklagten Partei Untreue angegeben. Der Kläger soll vorsätzlich und
bewusst einen Auftrag zum Bau eines Wasserkraftwerkes in der
Steiermark verschwiegen haben, wodurch der potentielle Auftraggeber
den Auftrag dem Konkurrenzunternehmen Wasserbau AG erteilt
habe.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Schriftliche Entlassung vom 17.11.2014 Beilage ./D</w:t>
            </w:r>
            <w:r>
              <w:rPr>
                <w:rFonts w:ascii="Arial" w:hAnsi="Arial" w:eastAsia="Arial" w:cs="Arial"/>
                <w:color w:val="000000"/>
                <w:position w:val="0"/>
                <w:sz w:val="20"/>
                <w:szCs w:val="20"/>
                <w:shd w:val="clear" w:color="auto" w:fill="FFFFFF"/>
              </w:rPr>
              <w:br/>
              <w:t xml:space="preserve">Zeugen</w:t>
            </w:r>
            <w:r>
              <w:rPr>
                <w:rFonts w:ascii="Arial" w:hAnsi="Arial" w:eastAsia="Arial" w:cs="Arial"/>
                <w:color w:val="000000"/>
                <w:position w:val="0"/>
                <w:sz w:val="20"/>
                <w:szCs w:val="20"/>
                <w:shd w:val="clear" w:color="auto" w:fill="FFFFFF"/>
              </w:rPr>
              <w:br/>
              <w:t xml:space="preserve">PV</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20</w:t>
      </w:r>
      <w:r>
        <w:rPr>
          <w:rFonts w:ascii="Arial" w:hAnsi="Arial" w:eastAsia="Arial" w:cs="Arial"/>
          <w:color w:val="000000"/>
          <w:sz w:val="20"/>
          <w:szCs w:val="20"/>
        </w:rPr>
        <w:br/>
        <w:t xml:space="preserve">Die Entlassungsanfechtung setzt eine nach zivilrechtlichen
Grundsätzen rechtsgültige Entlassung voraus. Es ist daher zu
bescheinigen, dass die Entlassung von einer dazu berechtigten
Person ausgesprochen wurde sowie, dass die Entlassung dem Kläger
ordnungsgemäß zugegangen ist. Nach zivilrechtlichen Grundsätzen
braucht es außerdem einen wichtigen Grund, um ein
Dauerschuldverhältnis fristlos einseitig aufzulösen.</w:t>
      </w:r>
    </w:p>
    <w:p>
      <w:pPr>
        <w:widowControl w:val="on"/>
        <w:pBdr/>
        <w:spacing w:before="140" w:after="240" w:line="288" w:lineRule="auto"/>
        <w:ind w:left="0" w:right="0"/>
        <w:jc w:val="left"/>
      </w:pPr>
      <w:r>
        <w:rPr>
          <w:rFonts w:ascii="Arial" w:hAnsi="Arial" w:eastAsia="Arial" w:cs="Arial"/>
          <w:color w:val="000000"/>
          <w:sz w:val="20"/>
          <w:szCs w:val="20"/>
        </w:rPr>
        <w:t xml:space="preserve">Der Arbeitgeber hat allerdings den Grund der Entlassung nicht
sofort zu benennen. Es ist ausreichend, den Entlassungsgrund
spätestens bis zum Schluss der mündlichen Verhandlung bekannt zu
geben. Es können auch weitere, vor der Entlassung vorgelegene,
Entlassungsgründe, welche dem Arbeitgeber erst nach ausgesprochener
Entlassung bekannt werden, im Verfahren nachgereicht werden.</w:t>
      </w:r>
    </w:p>
    <w:p>
      <w:pPr>
        <w:widowControl w:val="on"/>
        <w:pBdr/>
        <w:spacing w:before="140" w:after="240" w:line="288" w:lineRule="auto"/>
        <w:ind w:left="0" w:right="0"/>
        <w:jc w:val="left"/>
      </w:pPr>
      <w:r>
        <w:rPr>
          <w:rFonts w:ascii="Arial" w:hAnsi="Arial" w:eastAsia="Arial" w:cs="Arial"/>
          <w:b/>
          <w:bCs/>
          <w:color w:val="000000"/>
          <w:sz w:val="20"/>
          <w:szCs w:val="20"/>
        </w:rPr>
        <w:t xml:space="preserve">21</w:t>
      </w:r>
      <w:r>
        <w:rPr>
          <w:rFonts w:ascii="Arial" w:hAnsi="Arial" w:eastAsia="Arial" w:cs="Arial"/>
          <w:b/>
          <w:bCs/>
          <w:color w:val="000000"/>
          <w:sz w:val="20"/>
          <w:szCs w:val="20"/>
        </w:rPr>
        <w:br/>
        <w:t xml:space="preserve">Beachte:</w:t>
      </w:r>
      <w:r>
        <w:rPr>
          <w:rFonts w:ascii="Arial" w:hAnsi="Arial" w:eastAsia="Arial" w:cs="Arial"/>
          <w:color w:val="000000"/>
          <w:sz w:val="20"/>
          <w:szCs w:val="20"/>
        </w:rPr>
        <w:t xml:space="preserve"> Die Entlassung ist an keine Form
gebunden. Das heißt, die Fristen zur Entlassungsanfechtung beginnen
in unserem Fall mit Ausspruch der Kündigung am 17.11.2014 zu
laufen.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tblGrid>
      <w:tr>
        <w:trPr>
          <w:trHeight w:val="0" w:hRule="atLeast"/>
        </w:trPr>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Betriebsrat wurde eine Woche nach erfolgter Entlassung von
der beklagten Partei über die Entlassung des Klägers informiert.
Der Betriebsrat gab keinerlei Stellungnahme ab. Der Kläger forderte
den Betriebsrat am 26.11.2014 auf, die erfolgte Entlassung
anzufechten. Der Betriebsrat blieb untätig, dadurch ging das Recht
zur Anfechtung der Entlassung auf den Kläger über. Der Kläger ist
somit aktivlegitimiert, die Entlassung anzufechten.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Schriftliche Aufforderung zur Anfechtung der Entlassung vom
26.11.2014 Beilage ./E</w:t>
            </w:r>
            <w:r>
              <w:rPr>
                <w:rFonts w:ascii="Arial" w:hAnsi="Arial" w:eastAsia="Arial" w:cs="Arial"/>
                <w:color w:val="000000"/>
                <w:position w:val="0"/>
                <w:sz w:val="20"/>
                <w:szCs w:val="20"/>
                <w:shd w:val="clear" w:color="auto" w:fill="FFFFFF"/>
              </w:rPr>
              <w:br/>
              <w:t xml:space="preserve">Zeugen</w:t>
            </w:r>
            <w:r>
              <w:rPr>
                <w:rFonts w:ascii="Arial" w:hAnsi="Arial" w:eastAsia="Arial" w:cs="Arial"/>
                <w:color w:val="000000"/>
                <w:position w:val="0"/>
                <w:sz w:val="20"/>
                <w:szCs w:val="20"/>
                <w:shd w:val="clear" w:color="auto" w:fill="FFFFFF"/>
              </w:rPr>
              <w:br/>
              <w:t xml:space="preserve">PV</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22</w:t>
      </w:r>
      <w:r>
        <w:rPr>
          <w:rFonts w:ascii="Arial" w:hAnsi="Arial" w:eastAsia="Arial" w:cs="Arial"/>
          <w:color w:val="000000"/>
          <w:sz w:val="20"/>
          <w:szCs w:val="20"/>
        </w:rPr>
        <w:br/>
        <w:t xml:space="preserve">In der Entlassungsanfechtung ist anzuführen, dass der Betriebsrat
der Entlassung allenfalls rechtzeitig widersprochen hat und der
Dienstnehmer den Betriebsrat zur Anfechtung aufgefordert hat.
Sollte das Recht zur Anfechtung auf den Arbeit- bzw Dienstnehmer
übergegangen sein, ist darzustellen, weshalb die Aktivlegitimation
auf den Arbeit- bzw Dienstnehmer übergegangen ist.</w:t>
      </w:r>
    </w:p>
    <w:p>
      <w:pPr>
        <w:widowControl w:val="on"/>
        <w:pBdr/>
        <w:spacing w:before="140" w:after="240" w:line="288" w:lineRule="auto"/>
        <w:ind w:left="0" w:right="0"/>
        <w:jc w:val="left"/>
      </w:pPr>
      <w:r>
        <w:rPr>
          <w:rFonts w:ascii="Arial" w:hAnsi="Arial" w:eastAsia="Arial" w:cs="Arial"/>
          <w:b/>
          <w:bCs/>
          <w:color w:val="000000"/>
          <w:sz w:val="20"/>
          <w:szCs w:val="20"/>
        </w:rPr>
        <w:t xml:space="preserve">23</w:t>
      </w:r>
      <w:r>
        <w:rPr>
          <w:rFonts w:ascii="Arial" w:hAnsi="Arial" w:eastAsia="Arial" w:cs="Arial"/>
          <w:b/>
          <w:bCs/>
          <w:color w:val="000000"/>
          <w:sz w:val="20"/>
          <w:szCs w:val="20"/>
        </w:rPr>
        <w:br/>
        <w:t xml:space="preserve">Beachte</w:t>
      </w:r>
      <w:r>
        <w:rPr>
          <w:rFonts w:ascii="Arial" w:hAnsi="Arial" w:eastAsia="Arial" w:cs="Arial"/>
          <w:color w:val="000000"/>
          <w:sz w:val="20"/>
          <w:szCs w:val="20"/>
        </w:rPr>
        <w:t xml:space="preserve">: Die Aufforderung des Arbeit- bzw
Dienstnehmers zur Anfechtung der Entlassung durch den Betriebsrat
ist an keinerlei Form gebunden.</w:t>
      </w:r>
    </w:p>
    <w:p>
      <w:pPr>
        <w:widowControl w:val="on"/>
        <w:pBdr/>
        <w:spacing w:before="140" w:after="240" w:line="288" w:lineRule="auto"/>
        <w:ind w:left="0" w:right="0"/>
        <w:jc w:val="left"/>
      </w:pPr>
      <w:r>
        <w:rPr>
          <w:rFonts w:ascii="Arial" w:hAnsi="Arial" w:eastAsia="Arial" w:cs="Arial"/>
          <w:b/>
          <w:bCs/>
          <w:color w:val="000000"/>
          <w:sz w:val="20"/>
          <w:szCs w:val="20"/>
        </w:rPr>
        <w:t xml:space="preserve">24</w:t>
      </w:r>
      <w:r>
        <w:rPr>
          <w:rFonts w:ascii="Arial" w:hAnsi="Arial" w:eastAsia="Arial" w:cs="Arial"/>
          <w:color w:val="000000"/>
          <w:sz w:val="20"/>
          <w:szCs w:val="20"/>
        </w:rPr>
        <w:br/>
        <w:t xml:space="preserve">Gem § 106 ArbVG hat der Betriebsinhaber den Betriebsrat von
jeder Entlassung unverzüglich zu verständigen und innerhalb von
drei Arbeitstagen nach erfolgter Verständigung auf Verlangen des
Betriebsrates mit diesem die Entlassung zu beraten.</w:t>
      </w:r>
    </w:p>
    <w:p>
      <w:pPr>
        <w:widowControl w:val="on"/>
        <w:pBdr/>
        <w:spacing w:before="140" w:after="240" w:line="288" w:lineRule="auto"/>
        <w:ind w:left="0" w:right="0"/>
        <w:jc w:val="left"/>
      </w:pPr>
      <w:r>
        <w:rPr>
          <w:rFonts w:ascii="Arial" w:hAnsi="Arial" w:eastAsia="Arial" w:cs="Arial"/>
          <w:b/>
          <w:bCs/>
          <w:color w:val="000000"/>
          <w:sz w:val="20"/>
          <w:szCs w:val="20"/>
        </w:rPr>
        <w:t xml:space="preserve">25</w:t>
      </w:r>
      <w:r>
        <w:rPr>
          <w:rFonts w:ascii="Arial" w:hAnsi="Arial" w:eastAsia="Arial" w:cs="Arial"/>
          <w:color w:val="000000"/>
          <w:sz w:val="20"/>
          <w:szCs w:val="20"/>
        </w:rPr>
        <w:br/>
        <w:t xml:space="preserve">Stimmt der Betriebsrat der Entlassung zu, ist der entlassene
Arbeit- bzw Dienstnehmer berechtigt, die Entlassung vor Gericht
anzufechten, jedoch kann die Entlassung nicht aufgrund des
§ 105 Abs 3 Z 2 ArbVG wie hier, wegen
Sozialwidrigkeit, angefochten werden.</w:t>
      </w:r>
    </w:p>
    <w:p>
      <w:pPr>
        <w:widowControl w:val="on"/>
        <w:pBdr/>
        <w:spacing w:before="140" w:after="240" w:line="288" w:lineRule="auto"/>
        <w:ind w:left="0" w:right="0"/>
        <w:jc w:val="left"/>
      </w:pPr>
      <w:r>
        <w:rPr>
          <w:rFonts w:ascii="Arial" w:hAnsi="Arial" w:eastAsia="Arial" w:cs="Arial"/>
          <w:color w:val="000000"/>
          <w:sz w:val="20"/>
          <w:szCs w:val="20"/>
        </w:rPr>
        <w:t xml:space="preserve">Eine Beeinträchtigung wesentlicher Interessen des Arbeitnehmers
ist bereits gegeben, wenn durch die Kündigung eine bloß finanzielle
Schlechterstellung verursacht wird; es muss die Kündigung nicht
mehr die Existenzgrundlage durch dauernde Arbeitslosigkeit
gefährden. Schon der Verlust eines wesentlichen Vorteils aus dem
Arbeitsverhältnis rechtfertigt auf Seiten des Arbeitnehmers den
Schutz nach § 105 Abs 3 Z 2 ArbVG und zwar auch
dann, wenn der Lebensunterhalt des Gekündigten anderwärts
ausreichend gesichert ist (RIS-Justiz RS0051727).</w:t>
      </w:r>
    </w:p>
    <w:p>
      <w:pPr>
        <w:widowControl w:val="on"/>
        <w:pBdr/>
        <w:spacing w:before="140" w:after="240" w:line="288" w:lineRule="auto"/>
        <w:ind w:left="0" w:right="0"/>
        <w:jc w:val="left"/>
      </w:pPr>
      <w:r>
        <w:rPr>
          <w:rFonts w:ascii="Arial" w:hAnsi="Arial" w:eastAsia="Arial" w:cs="Arial"/>
          <w:b/>
          <w:bCs/>
          <w:color w:val="000000"/>
          <w:sz w:val="20"/>
          <w:szCs w:val="20"/>
        </w:rPr>
        <w:t xml:space="preserve">26</w:t>
      </w:r>
      <w:r>
        <w:rPr>
          <w:rFonts w:ascii="Arial" w:hAnsi="Arial" w:eastAsia="Arial" w:cs="Arial"/>
          <w:color w:val="000000"/>
          <w:sz w:val="20"/>
          <w:szCs w:val="20"/>
        </w:rPr>
        <w:br/>
        <w:t xml:space="preserve">Widerspricht der Betriebsrat der Entlassung ausdrücklich, kann er
auf Verlangen des entlassenen Arbeit- bzw Dienstnehmers die
Entlassung innerhalb einer Woche vor Gericht anfechten. Unterlässt
der Betriebsrat trotz Aufforderung des entlassenen Arbeit- bzw
Dienstnehmers die Entlassungsanfechtung, so ist der entlassene
Arbeit- bzw Dienstnehmer berechtigt, innerhalb von zwei Wochen nach
Ablauf der einwöchigen Anfechtungsfrist des Betriebsrates, die
Entlassung anzufechten.</w:t>
      </w:r>
    </w:p>
    <w:p>
      <w:pPr>
        <w:widowControl w:val="on"/>
        <w:pBdr/>
        <w:spacing w:before="140" w:after="240" w:line="288" w:lineRule="auto"/>
        <w:ind w:left="0" w:right="0"/>
        <w:jc w:val="left"/>
      </w:pPr>
      <w:r>
        <w:rPr>
          <w:rFonts w:ascii="Arial" w:hAnsi="Arial" w:eastAsia="Arial" w:cs="Arial"/>
          <w:b/>
          <w:bCs/>
          <w:color w:val="000000"/>
          <w:sz w:val="20"/>
          <w:szCs w:val="20"/>
        </w:rPr>
        <w:t xml:space="preserve">27</w:t>
      </w:r>
      <w:r>
        <w:rPr>
          <w:rFonts w:ascii="Arial" w:hAnsi="Arial" w:eastAsia="Arial" w:cs="Arial"/>
          <w:color w:val="000000"/>
          <w:sz w:val="20"/>
          <w:szCs w:val="20"/>
        </w:rPr>
        <w:br/>
        <w:t xml:space="preserve">Gibt der Betriebsrat keine Stellungnahme innerhalb der einwöchigen
Frist des § 105 Abs 1 ArbVG ab, geht das Recht, die
Entlassung anzufechten, auf den entlassenen Arbeit- bzw
Dienstnehmer über.</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tblGrid>
      <w:tr>
        <w:trPr>
          <w:trHeight w:val="0" w:hRule="atLeast"/>
        </w:trPr>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Kläger ist 54 Jahre alt und ist seit 34 Jahren bei der
beklagten Partei angestellt. Der Kläger erfüllte seine Aufgaben
immer gewissenhaft und stieg sehr schnell in der Hierarchie des
Unternehmens auf. Er hat nun die Leitung der Sekretariatsabteilung
inne und genießt hohes Ansehen in seiner Abteilung. Dem Kläger
wurde am 20.03.2009 ein vorläufiges Dienstzeugnis ausgestellt, in
dem seine Arbeit als höchst zufriedenstellend bezeichnet wird</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Kläger hat 4 Kinder im Alter von 7, 10, 14 und 16 Jahren.
Die Frau des Klägers ist 2010 verstorben. Der Kläger bezieht nur
Einkünfte aus seiner Tätigkeit bei der beklagten Partei. Der Kläger
hat keinerlei sonstiges nennenswertes Vermögen. Die Entlassung wäre
daher in höchstem Maße sozial ungerechtfertigt.</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von der beklagten Partei behauptete Entlassungsgrund ist
nicht gegeben. Der Kläger leugnet nicht, einen Fehler gemacht zu
haben, jedoch wurde der Auftrag dem Arbeitgeber keineswegs bewusst
und vorsätzlich verschwiegen. Es handelte sich vielmehr um eine
Unachtsamkeit des Klägers. Der Auftrag kam per Post und wurde dem
Kläger mit mehreren anderen Unterlagen, unter anderem sehr viel
Werbung, auf den Schreibtisch gelegt. Der Kläger hat in einer
Unachtsamkeit den Auftrag mit anderen unwichtigen Schreiben und der
Werbung geschreddert. Man kann dem Kläger hier keinesfalls
Schädigungsabsicht vorwerfen. Es handelt sich hierbei um den ersten
Fehler des Klägers in seiner 34-jährigen Beschäftigungszeit bei der
beklagten Partei.</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Dienstzeugnis vom 20.03.2009 Beilage ./F</w:t>
            </w:r>
            <w:r>
              <w:rPr>
                <w:rFonts w:ascii="Arial" w:hAnsi="Arial" w:eastAsia="Arial" w:cs="Arial"/>
                <w:color w:val="000000"/>
                <w:position w:val="0"/>
                <w:sz w:val="20"/>
                <w:szCs w:val="20"/>
                <w:shd w:val="clear" w:color="auto" w:fill="FFFFFF"/>
              </w:rPr>
              <w:br/>
              <w:t xml:space="preserve">Zeugen</w:t>
            </w:r>
            <w:r>
              <w:rPr>
                <w:rFonts w:ascii="Arial" w:hAnsi="Arial" w:eastAsia="Arial" w:cs="Arial"/>
                <w:color w:val="000000"/>
                <w:position w:val="0"/>
                <w:sz w:val="20"/>
                <w:szCs w:val="20"/>
                <w:shd w:val="clear" w:color="auto" w:fill="FFFFFF"/>
              </w:rPr>
              <w:br/>
              <w:t xml:space="preserve">PV</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28</w:t>
      </w:r>
      <w:r>
        <w:rPr>
          <w:rFonts w:ascii="Arial" w:hAnsi="Arial" w:eastAsia="Arial" w:cs="Arial"/>
          <w:color w:val="000000"/>
          <w:sz w:val="20"/>
          <w:szCs w:val="20"/>
        </w:rPr>
        <w:br/>
        <w:t xml:space="preserve">Eine Entlassung kann nur bei Vorliegen eines verpönten Motives
angefochten werden. Liegt nur ein Entlassungsgrund vor, aber kein
verpöntes Motiv, kann die Entlassung nicht erfolgreich angefochten
werden und dem zu Unrecht Entlassenen verbleibt lediglich ein
Anspruch auf Schadenersatz aus ungerechtfertigter Entlassung (vgl
§ 29 AngG bzw § 1162b ABGB).</w:t>
      </w:r>
    </w:p>
    <w:p>
      <w:pPr>
        <w:widowControl w:val="on"/>
        <w:pBdr/>
        <w:spacing w:before="140" w:after="240" w:line="288" w:lineRule="auto"/>
        <w:ind w:left="0" w:right="0"/>
        <w:jc w:val="left"/>
      </w:pPr>
      <w:r>
        <w:rPr>
          <w:rFonts w:ascii="Arial" w:hAnsi="Arial" w:eastAsia="Arial" w:cs="Arial"/>
          <w:color w:val="000000"/>
          <w:sz w:val="20"/>
          <w:szCs w:val="20"/>
        </w:rPr>
        <w:t xml:space="preserve">Die Entlassung kann beim Gericht angefochten werden, wenn die
Entlassung (auch)</w:t>
      </w:r>
    </w:p>
    <w:p>
      <w:pPr>
        <w:numPr>
          <w:ilvl w:val="0"/>
          <w:numId w:val="3362053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wegen des Beitrittes oder der Mitgliedschaft des Arbeitnehmers
zu Gewerkschaften;</w:t>
      </w:r>
    </w:p>
    <w:p>
      <w:pPr>
        <w:numPr>
          <w:ilvl w:val="0"/>
          <w:numId w:val="3362053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wegen seiner Tätigkeit in Gewerkschaften;</w:t>
      </w:r>
    </w:p>
    <w:p>
      <w:pPr>
        <w:numPr>
          <w:ilvl w:val="0"/>
          <w:numId w:val="3362053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wegen Einberufung der Betriebsversammlung durch den
Arbeitnehmer;</w:t>
      </w:r>
    </w:p>
    <w:p>
      <w:pPr>
        <w:numPr>
          <w:ilvl w:val="0"/>
          <w:numId w:val="3362053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wegen seiner Tätigkeit als Mitglied des Wahlvorstandes, einer
Wahlkommission oder als Wahlzeuge;</w:t>
      </w:r>
    </w:p>
    <w:p>
      <w:pPr>
        <w:numPr>
          <w:ilvl w:val="0"/>
          <w:numId w:val="3362053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wegen seiner Bewerbung um eine Mitgliedschaft zum Betriebsrat
oder wegen einer früheren Tätigkeit im Betriebsrat;</w:t>
      </w:r>
    </w:p>
    <w:p>
      <w:pPr>
        <w:numPr>
          <w:ilvl w:val="0"/>
          <w:numId w:val="3362053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wegen seiner Tätigkeit als Mitglied der
Schlichtungsstelle;</w:t>
      </w:r>
    </w:p>
    <w:p>
      <w:pPr>
        <w:numPr>
          <w:ilvl w:val="0"/>
          <w:numId w:val="3362053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wegen seiner Tätigkeit als Sicherheitsvertrauensperson,
Sicherheitsfachkraft oder Arbeitsmediziner oder als Fach- oder
Hilfspersonal von Sicherheitsfachkräften oder
Arbeitsmedizinern;</w:t>
      </w:r>
    </w:p>
    <w:p>
      <w:pPr>
        <w:numPr>
          <w:ilvl w:val="0"/>
          <w:numId w:val="3362053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wegen der bevorstehenden Einberufung des Arbeitnehmers zum
Präsenz- oder Ausbildungsdienst oder Zuweisung zum
Zivildienst;</w:t>
      </w:r>
    </w:p>
    <w:p>
      <w:pPr>
        <w:numPr>
          <w:ilvl w:val="0"/>
          <w:numId w:val="3362053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wegen der offenbar nicht unberechtigten Geltendmachung von vom
Arbeitgeber infrage gestellten Ansprüchen aus dem Arbeitsverhältnis
durch den Arbeitnehmer;</w:t>
      </w:r>
    </w:p>
    <w:p>
      <w:pPr>
        <w:numPr>
          <w:ilvl w:val="0"/>
          <w:numId w:val="3362053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wegen seiner Tätigkeit als Sprecher gem § 177
Abs 1</w:t>
      </w:r>
    </w:p>
    <w:p>
      <w:pPr>
        <w:widowControl w:val="on"/>
        <w:pBdr/>
        <w:spacing w:before="140" w:after="240" w:line="288" w:lineRule="auto"/>
        <w:ind w:left="0" w:right="0"/>
        <w:jc w:val="left"/>
      </w:pPr>
      <w:r>
        <w:rPr>
          <w:rFonts w:ascii="Arial" w:hAnsi="Arial" w:eastAsia="Arial" w:cs="Arial"/>
          <w:color w:val="000000"/>
          <w:sz w:val="20"/>
          <w:szCs w:val="20"/>
        </w:rPr>
        <w:t xml:space="preserve">erfolgt ist.</w:t>
      </w:r>
    </w:p>
    <w:p>
      <w:pPr>
        <w:widowControl w:val="on"/>
        <w:pBdr/>
        <w:spacing w:before="140" w:after="240" w:line="288" w:lineRule="auto"/>
        <w:ind w:left="0" w:right="0"/>
        <w:jc w:val="left"/>
      </w:pPr>
      <w:r>
        <w:rPr>
          <w:rFonts w:ascii="Arial" w:hAnsi="Arial" w:eastAsia="Arial" w:cs="Arial"/>
          <w:color w:val="000000"/>
          <w:sz w:val="20"/>
          <w:szCs w:val="20"/>
        </w:rPr>
        <w:t xml:space="preserve">Die Kündigungsgründe des § 105 Abs 3 Z 2
lit a und b ArbVG schließen als negatives
Anfechtungstatbestandsmerkmal die Annahme einer ansonsten, nämlich
wegen Beeinträchtigung wesentlicher Interessen des Arbeitnehmers,
sozial ungerechtfertigten Kündigung aus. Sie setzen aber das
Vorliegen einer durch die Kündigung bewirkten Beeinträchtigung
wesentlicher Interessen des Arbeitnehmers voraus (ansonsten wäre ja
die Kündigung von vornherein nicht sozialwidrig) und berechtigen
den Betriebsinhaber, ungeachtet dieser sozialen Auswirkungen zur
Kündigung. Die Verwirklichung eines Ausnahmetatbestandes hebt sohin
die Sozialwidrigkeit der Kündigung auf (RIS-Justiz RS0051929).</w:t>
      </w:r>
    </w:p>
    <w:p>
      <w:pPr>
        <w:widowControl w:val="on"/>
        <w:pBdr/>
        <w:spacing w:before="140" w:after="240" w:line="288" w:lineRule="auto"/>
        <w:ind w:left="0" w:right="0"/>
        <w:jc w:val="left"/>
      </w:pPr>
      <w:r>
        <w:rPr>
          <w:rFonts w:ascii="Arial" w:hAnsi="Arial" w:eastAsia="Arial" w:cs="Arial"/>
          <w:b/>
          <w:bCs/>
          <w:color w:val="000000"/>
          <w:sz w:val="20"/>
          <w:szCs w:val="20"/>
        </w:rPr>
        <w:t xml:space="preserve">29</w:t>
      </w:r>
      <w:r>
        <w:rPr>
          <w:rFonts w:ascii="Arial" w:hAnsi="Arial" w:eastAsia="Arial" w:cs="Arial"/>
          <w:color w:val="000000"/>
          <w:sz w:val="20"/>
          <w:szCs w:val="20"/>
        </w:rPr>
        <w:br/>
        <w:t xml:space="preserve">Die verpönten Motive sind wie oben aufgezählt in § 105
Abs 3 Z1 ArbVG abschließend aufgezählt. Gem § 105
Abs 5 ArbVG hat der Arbeit- bzw Dienstnehmer das verpönte
Motiv nur glaubhaft zu machen. Die Anfechtungsklage ist jedoch
abzuweisen, wenn bei Abwägung aller Umstände eine höhere
Wahrscheinlichkeit dafür spricht, dass ein anderes vom Arbeitgeber
glaubhaft gemachtes Motiv für die Kündigung ausschlaggebend
war.</w:t>
      </w:r>
    </w:p>
    <w:p>
      <w:pPr>
        <w:widowControl w:val="on"/>
        <w:pBdr/>
        <w:spacing w:before="140" w:after="240" w:line="288" w:lineRule="auto"/>
        <w:ind w:left="0" w:right="0"/>
        <w:jc w:val="left"/>
      </w:pPr>
      <w:r>
        <w:rPr>
          <w:rFonts w:ascii="Arial" w:hAnsi="Arial" w:eastAsia="Arial" w:cs="Arial"/>
          <w:color w:val="000000"/>
          <w:sz w:val="20"/>
          <w:szCs w:val="20"/>
        </w:rPr>
        <w:t xml:space="preserve">Macht der Arbeitnehmer glaubhaft, dass die Benachteiligung auf
das verpönte Motiv zurückzuführen ist, dann ist eine unzulässige
Benachteiligung anzunehmen, sofern nicht der Arbeitgeber glaubhaft
macht, dass ein anderes Motiv mit höherer Wahrscheinlichkeit
ausschlaggebend war (RIS-Justiz RS0052037).</w:t>
      </w:r>
    </w:p>
    <w:p>
      <w:pPr>
        <w:widowControl w:val="on"/>
        <w:pBdr/>
        <w:spacing w:before="140" w:after="240" w:line="288" w:lineRule="auto"/>
        <w:ind w:left="0" w:right="0"/>
        <w:jc w:val="left"/>
      </w:pPr>
      <w:r>
        <w:rPr>
          <w:rFonts w:ascii="Arial" w:hAnsi="Arial" w:eastAsia="Arial" w:cs="Arial"/>
          <w:color w:val="000000"/>
          <w:sz w:val="20"/>
          <w:szCs w:val="20"/>
        </w:rPr>
        <w:t xml:space="preserve">Für die Anfechtung von Kündigungen genügt es, dass das verpönte
Motiv für die Kündigung wesentlich ist; es ist nicht notwendig,
dass das Motiv ausschließlicher Beweggrund ist (RIS-Justiz
RS0051661).</w:t>
      </w:r>
    </w:p>
    <w:p>
      <w:pPr>
        <w:widowControl w:val="on"/>
        <w:pBdr/>
        <w:spacing w:before="140" w:after="240" w:line="288" w:lineRule="auto"/>
        <w:ind w:left="0" w:right="0"/>
        <w:jc w:val="left"/>
      </w:pPr>
      <w:r>
        <w:rPr>
          <w:rFonts w:ascii="Arial" w:hAnsi="Arial" w:eastAsia="Arial" w:cs="Arial"/>
          <w:color w:val="000000"/>
          <w:sz w:val="20"/>
          <w:szCs w:val="20"/>
        </w:rPr>
        <w:t xml:space="preserve">War eine Arbeitgeberin als unmittelbare Adressatin der
COVID-19-Notmaßnahmenverordnung verpflichtet, Arbeitnehmern ohne
Vorliegen eines negativen Testergebnisses (bzw einer der in der
Verordnung statuierten Ausnahmen) das Betreten der Betriebsstätte
zu verwehren, ergibt sich auch mittelbar für den Arbeitnehmer die
Verpflichtung, sich den kostenlos angebotenen Tests zu unterziehen,
um seinen arbeitsvertraglichen Pflichten nachkommen zu können. Wird
aufgrund der unberechtigten Verweigerung der aufgrund der
Verordnung zur Erfüllung der Arbeitspflicht notwendigen Tests das
Arbeitsverhältnis vom Arbeitgeber beendet, liegt dieser Beendigung
kein verpöntes Motiv zugrunde (RIS-Justiz RS0133973).</w:t>
      </w:r>
    </w:p>
    <w:p>
      <w:pPr>
        <w:widowControl w:val="on"/>
        <w:pBdr/>
        <w:spacing w:before="140" w:after="240" w:line="288" w:lineRule="auto"/>
        <w:ind w:left="0" w:right="0"/>
        <w:jc w:val="left"/>
      </w:pPr>
      <w:r>
        <w:rPr>
          <w:rFonts w:ascii="Arial" w:hAnsi="Arial" w:eastAsia="Arial" w:cs="Arial"/>
          <w:b/>
          <w:bCs/>
          <w:color w:val="000000"/>
          <w:sz w:val="20"/>
          <w:szCs w:val="20"/>
        </w:rPr>
        <w:t xml:space="preserve">30</w:t>
      </w:r>
      <w:r>
        <w:rPr>
          <w:rFonts w:ascii="Arial" w:hAnsi="Arial" w:eastAsia="Arial" w:cs="Arial"/>
          <w:color w:val="000000"/>
          <w:sz w:val="20"/>
          <w:szCs w:val="20"/>
        </w:rPr>
        <w:br/>
        <w:t xml:space="preserve">Sofern der Entlassungsgrund bekannt ist, sollten bereits in der
Klage Gründe dazu geliefert werden, aus denen der behauptete
Entlassungsgrund nicht gegeben ist. In unserem Beispiel ist der
behauptete Entlassungsgrund die vorsätzliche Schädigung des Arbeit-
bzw Dienstgebers. Es ist darauf zu achten zumindest ein
Tatbestandselement des behaupteten Entlassungsgrundes unglaubhaft
zu machen. In diesem Beispiel wurde der Vorsatz, den es für den
behaupteten Entlassungsgrund benötigt, versucht als Unachtsamkeit
darzustellen, was zum Nichtbestehen dieses Entlassungsgrundes
führen würde. Allerdings ist es nicht zu empfehlen, sich
ausschließlich auf die subjektive Tatseite zu beschränken.</w:t>
      </w:r>
    </w:p>
    <w:p>
      <w:pPr>
        <w:widowControl w:val="on"/>
        <w:pBdr/>
        <w:spacing w:before="140" w:after="240" w:line="288" w:lineRule="auto"/>
        <w:ind w:left="0" w:right="0"/>
        <w:jc w:val="left"/>
      </w:pPr>
      <w:r>
        <w:rPr>
          <w:rFonts w:ascii="Arial" w:hAnsi="Arial" w:eastAsia="Arial" w:cs="Arial"/>
          <w:b/>
          <w:bCs/>
          <w:color w:val="000000"/>
          <w:sz w:val="20"/>
          <w:szCs w:val="20"/>
        </w:rPr>
        <w:t xml:space="preserve">31</w:t>
      </w:r>
      <w:r>
        <w:rPr>
          <w:rFonts w:ascii="Arial" w:hAnsi="Arial" w:eastAsia="Arial" w:cs="Arial"/>
          <w:color w:val="000000"/>
          <w:sz w:val="20"/>
          <w:szCs w:val="20"/>
        </w:rPr>
        <w:br/>
        <w:t xml:space="preserve">Sollte kein verpöntes Motiv für die Entlassung ausschlaggebend
sein, besteht ein weiterer Anfechtungsgrund. Dieser ist gegeben,
wenn der Arbeit- bzw Dienstnehmer keinen Entlassungsgrund gesetzt
hat, bereits 6 Monate im Betrieb beschäftigt ist und die Entlassung
unter Berücksichtigung aller Umstände sozial ungerechtfertigt
ist.</w:t>
      </w:r>
    </w:p>
    <w:p>
      <w:pPr>
        <w:widowControl w:val="on"/>
        <w:pBdr/>
        <w:spacing w:before="140" w:after="240" w:line="288" w:lineRule="auto"/>
        <w:ind w:left="0" w:right="0"/>
        <w:jc w:val="left"/>
      </w:pPr>
      <w:r>
        <w:rPr>
          <w:rFonts w:ascii="Arial" w:hAnsi="Arial" w:eastAsia="Arial" w:cs="Arial"/>
          <w:color w:val="000000"/>
          <w:sz w:val="20"/>
          <w:szCs w:val="20"/>
        </w:rPr>
        <w:t xml:space="preserve">Gem § 105 Abs 3 Z 2 ArbVG ist eine Kündigung bzw
Entlassung sozial ungerechtfertigt, die wesentliche Interessen des
Arbeitnehmers beeinträchtigt, es sei denn, der Betriebsinhaber
erbringt den Nachweis, dass die Kündigung bzw Entlassung</w:t>
      </w:r>
    </w:p>
    <w:p>
      <w:pPr>
        <w:numPr>
          <w:ilvl w:val="0"/>
          <w:numId w:val="89728161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durch Umstände, die in der Person des Arbeitnehmers gelegen
sind und die betrieblichen Interessen nachteilig berühren oder</w:t>
      </w:r>
    </w:p>
    <w:p>
      <w:pPr>
        <w:numPr>
          <w:ilvl w:val="0"/>
          <w:numId w:val="89728161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durch betriebliche Erfordernisse, die einer Weiterbeschäftigung
des Arbeitnehmers entgegenstehen,</w:t>
      </w:r>
    </w:p>
    <w:p>
      <w:pPr>
        <w:widowControl w:val="on"/>
        <w:pBdr/>
        <w:spacing w:before="140" w:after="240" w:line="288" w:lineRule="auto"/>
        <w:ind w:left="0" w:right="0"/>
        <w:jc w:val="left"/>
      </w:pPr>
      <w:r>
        <w:rPr>
          <w:rFonts w:ascii="Arial" w:hAnsi="Arial" w:eastAsia="Arial" w:cs="Arial"/>
          <w:color w:val="000000"/>
          <w:sz w:val="20"/>
          <w:szCs w:val="20"/>
        </w:rPr>
        <w:t xml:space="preserve">begründet ist.</w:t>
      </w:r>
    </w:p>
    <w:p>
      <w:pPr>
        <w:widowControl w:val="on"/>
        <w:pBdr/>
        <w:spacing w:before="140" w:after="240" w:line="288" w:lineRule="auto"/>
        <w:ind w:left="0" w:right="0"/>
        <w:jc w:val="left"/>
      </w:pPr>
      <w:r>
        <w:rPr>
          <w:rFonts w:ascii="Arial" w:hAnsi="Arial" w:eastAsia="Arial" w:cs="Arial"/>
          <w:b/>
          <w:bCs/>
          <w:color w:val="000000"/>
          <w:sz w:val="20"/>
          <w:szCs w:val="20"/>
        </w:rPr>
        <w:t xml:space="preserve">Beachte:</w:t>
      </w:r>
      <w:r>
        <w:rPr>
          <w:rFonts w:ascii="Arial" w:hAnsi="Arial" w:eastAsia="Arial" w:cs="Arial"/>
          <w:color w:val="000000"/>
          <w:sz w:val="20"/>
          <w:szCs w:val="20"/>
        </w:rPr>
        <w:t xml:space="preserve"> Gem § 106 Abs 2 ArbVG ist
eine Anfechtung aufgrund Sozialwidrigkeit nicht möglich, sollte der
Betriebsrat innerhalb einer Frist von einer Woche der Entlassung
ausdrücklich zugestimmt haben.</w:t>
      </w:r>
    </w:p>
    <w:p>
      <w:pPr>
        <w:widowControl w:val="on"/>
        <w:pBdr/>
        <w:spacing w:before="140" w:after="240" w:line="288" w:lineRule="auto"/>
        <w:ind w:left="0" w:right="0"/>
        <w:jc w:val="left"/>
      </w:pPr>
      <w:r>
        <w:rPr>
          <w:rFonts w:ascii="Arial" w:hAnsi="Arial" w:eastAsia="Arial" w:cs="Arial"/>
          <w:color w:val="000000"/>
          <w:sz w:val="20"/>
          <w:szCs w:val="20"/>
        </w:rPr>
        <w:t xml:space="preserve">Bei Prüfung der Interessenbeeinträchtigung sind alle sozialen
Umstände zueinander in Beziehung zu setzen. Der Arbeitnehmer ist
vor allem auf ein laufendes Einkommen zur Aufrechterhaltung seiner
Existenz und seiner Sorgeberechtigten angewiesen. Daher ist der
Arbeitnehmer nicht verhalten, zugunsten des Arbeitgebers den
Vermögensstamm zur Vermeidung von finanziellen Einbußen
anzugreifen, sondern ist auf diesen nur insoweit Bezug zu nehmen,
als er Erträge und damit laufendes Einkommen bringt (RIS-Justiz
RS0110944).</w:t>
      </w:r>
    </w:p>
    <w:p>
      <w:pPr>
        <w:widowControl w:val="on"/>
        <w:pBdr/>
        <w:spacing w:before="140" w:after="240" w:line="288" w:lineRule="auto"/>
        <w:ind w:left="0" w:right="0"/>
        <w:jc w:val="left"/>
      </w:pPr>
      <w:r>
        <w:rPr>
          <w:rFonts w:ascii="Arial" w:hAnsi="Arial" w:eastAsia="Arial" w:cs="Arial"/>
          <w:color w:val="000000"/>
          <w:sz w:val="20"/>
          <w:szCs w:val="20"/>
        </w:rPr>
        <w:t xml:space="preserve">Bei der Untersuchung, ob durch die Kündigung eine
Beeinträchtigung wesentlicher Interessen eintritt, ist auf die
Möglichkeit der Erlangung eines neuen, einigermaßen gleichwertigen
Arbeitsplatzes und in diesem Zusammenhang auf die Dauer der
Betriebszugehörigkeit, das Alter des Arbeitnehmers, den Verlust
allfälliger dienstzeitabhängiger Ansprüche sowie der mit dem
Arbeitsverhältnis verbundenen Vorteile (wie etwa Dienstwohnung)
abzustellen; darüber hinaus sind aber auch die gesamten
wirtschaftlichen Verhältnisse des Arbeitnehmers einzubeziehen, wie
Einkommen, Vermögen, auf Gesetz, Vertrag oder sittlichen
Verpflichtungen beruhende Sorgepflichten, das Einkommen des
Ehegatten und der anderen erwerbstätigen Familienmitglieder sowie
Schulden, soweit deren Entstehungsgrund berücksichtigungswürdig ist
(RIS-Justiz RS0051703).</w:t>
      </w:r>
    </w:p>
    <w:p>
      <w:pPr>
        <w:widowControl w:val="on"/>
        <w:pBdr/>
        <w:spacing w:before="140" w:after="240" w:line="288" w:lineRule="auto"/>
        <w:ind w:left="0" w:right="0"/>
        <w:jc w:val="left"/>
      </w:pPr>
      <w:r>
        <w:rPr>
          <w:rFonts w:ascii="Arial" w:hAnsi="Arial" w:eastAsia="Arial" w:cs="Arial"/>
          <w:color w:val="000000"/>
          <w:sz w:val="20"/>
          <w:szCs w:val="20"/>
        </w:rPr>
        <w:t xml:space="preserve">Das Tatbestandsmerkmal der Beeinträchtigung wesentlicher
Interessen ist nur dann erfüllt, wenn die durch die Kündigung
bewirkte finanzielle Schlechterstellung ein solches Ausmaß
erreicht, dass sie eine fühlbare, ins Gewicht fallende
Beeinträchtigung der wirtschaftlichen Lage zur Folge hat, ohne dass
aber eine soziale Notlage oder eine Existenzgefährdung eintreten
müsste (RIS-Justiz RS0051753).</w:t>
      </w:r>
    </w:p>
    <w:p>
      <w:pPr>
        <w:widowControl w:val="on"/>
        <w:pBdr/>
        <w:spacing w:before="140" w:after="240" w:line="288" w:lineRule="auto"/>
        <w:ind w:left="0" w:right="0"/>
        <w:jc w:val="left"/>
      </w:pPr>
      <w:r>
        <w:rPr>
          <w:rFonts w:ascii="Arial" w:hAnsi="Arial" w:eastAsia="Arial" w:cs="Arial"/>
          <w:color w:val="000000"/>
          <w:sz w:val="20"/>
          <w:szCs w:val="20"/>
        </w:rPr>
        <w:t xml:space="preserve">In die Untersuchung, ob wesentliche Interessen des Arbeitnehmers
beeinträchtigt sind, ist die gesamte wirtschaftliche und soziale
Lage des Arbeitnehmers einzubeziehen, sodass (im vorliegenden Fall)
insbesondere die Veränderung der Einkommensverhältnisse, das Fehlen
von Sorgepflichten, die Kreditbelastung, der Gesundheitszustand,
das Lebensalter und die Auswirkung der Kündigung auf die
Bemessungsgrundlage der zu erwartenden Pension, aber auch die Höhe
der Abfertigung zu berücksichtigen sind (RIS-Justiz RS0051741).</w:t>
      </w:r>
    </w:p>
    <w:p>
      <w:pPr>
        <w:widowControl w:val="on"/>
        <w:pBdr/>
        <w:spacing w:before="140" w:after="240" w:line="288" w:lineRule="auto"/>
        <w:ind w:left="0" w:right="0"/>
        <w:jc w:val="left"/>
      </w:pPr>
      <w:r>
        <w:rPr>
          <w:rFonts w:ascii="Arial" w:hAnsi="Arial" w:eastAsia="Arial" w:cs="Arial"/>
          <w:b/>
          <w:bCs/>
          <w:color w:val="000000"/>
          <w:sz w:val="20"/>
          <w:szCs w:val="20"/>
        </w:rPr>
        <w:t xml:space="preserve">32</w:t>
      </w:r>
      <w:r>
        <w:rPr>
          <w:rFonts w:ascii="Arial" w:hAnsi="Arial" w:eastAsia="Arial" w:cs="Arial"/>
          <w:color w:val="000000"/>
          <w:sz w:val="20"/>
          <w:szCs w:val="20"/>
        </w:rPr>
        <w:br/>
        <w:t xml:space="preserve">Die soziale Ungerechtigkeit bietet ein relativ breites Spektrum an
Argumentationsmöglichkeiten. Es ist aufzuzeigen, dass wesentliche
Interessen des Arbeit- bzw Dienstnehmers durch die Entlassung
beeinträchtigt werden. Man sollte sich in diesem Punkt darauf
spezialisieren, die wirtschaftlichen Verhältnisse des Arbeit- bzw
Dienstnehmers zu erläutern und dadurch aufzuzeigen, dass die
Entlassung den Kläger wirtschaftlich sehr hart treffen würde und
seine Existenz gefährden könnte. Kriterien sind die Anzahl der
Kinder, etwaige andere Unterhaltspflichten, ein anderes Einkommen
des Entlassenen, das Einkommen des Ehegatten sowie die realistische
Einschätzung der Wiedereingliederung in den Arbeitsmarkt usw.</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Entlassung wurde zu Unrecht ausgesprochen, da die klagende
Partei keinerlei Entlassungsgrund gesetzt hat. Weiters ist die
klagende Partei schon mindestens 6 Monate bei der beklagten Partei
beschäftigt und wäre die Kündigung in höchstem Maße sozial
ungerechtfertigt.</w:t>
            </w:r>
          </w:p>
        </w:tc>
      </w:tr>
    </w:tbl>
    <w:p>
      <w:pPr>
        <w:widowControl w:val="on"/>
        <w:pBdr/>
        <w:spacing w:before="140" w:after="240" w:line="288" w:lineRule="auto"/>
        <w:ind w:left="0" w:right="0"/>
        <w:jc w:val="left"/>
      </w:pPr>
      <w:r>
        <w:rPr>
          <w:rFonts w:ascii="Arial" w:hAnsi="Arial" w:eastAsia="Arial" w:cs="Arial"/>
          <w:color w:val="000000"/>
          <w:sz w:val="20"/>
          <w:szCs w:val="20"/>
        </w:rPr>
        <w:t xml:space="preserve">Bei Lösung der Frage, ob eine Kündigung sozial ungerechtfertigt
ist, muss vorerst ohne Rücksicht auf andere
Anfechtungsvoraussetzungen und ohne Koppelung mit anderen
Tatbeständen oder Tatbestandsmerkmalen geprüft werden, ob durch sie
wesentliche Interessen der betroffenen Arbeitnehmer beeinträchtigt
werden (RIS-Justiz RS0051640).</w:t>
      </w:r>
    </w:p>
    <w:p>
      <w:pPr>
        <w:widowControl w:val="on"/>
        <w:pBdr/>
        <w:spacing w:before="140" w:after="240" w:line="288" w:lineRule="auto"/>
        <w:ind w:left="0" w:right="0"/>
        <w:jc w:val="left"/>
      </w:pPr>
      <w:r>
        <w:rPr>
          <w:rFonts w:ascii="Arial" w:hAnsi="Arial" w:eastAsia="Arial" w:cs="Arial"/>
          <w:b/>
          <w:bCs/>
          <w:color w:val="000000"/>
          <w:sz w:val="20"/>
          <w:szCs w:val="20"/>
        </w:rPr>
        <w:t xml:space="preserve">33</w:t>
      </w:r>
      <w:r>
        <w:rPr>
          <w:rFonts w:ascii="Arial" w:hAnsi="Arial" w:eastAsia="Arial" w:cs="Arial"/>
          <w:color w:val="000000"/>
          <w:sz w:val="20"/>
          <w:szCs w:val="20"/>
        </w:rPr>
        <w:br/>
        <w:t xml:space="preserve">Es empfiehlt sich, am Ende der Ausführungen noch einmal den
Anfechtungsgrund anzuführen und zusammenzufassen, um es leichter zu
machen, den Argumentationen folgen zu können.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Gem § 5 Abs 2 ASGG ist das Arbeits- und Sozialgericht
Wien zuständig, da sich der Sitz der Schinden und Schaffen GmbH im
22. Wiener Gemeindebezirk befindet und sich der Streit auf diesen
Betrieb bezieht. Daher fällt diese Streitigkeit in den Sprengel des
Arbeits- und Sozialgerichts Wien.</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34</w:t>
      </w:r>
      <w:r>
        <w:rPr>
          <w:rFonts w:ascii="Arial" w:hAnsi="Arial" w:eastAsia="Arial" w:cs="Arial"/>
          <w:color w:val="000000"/>
          <w:sz w:val="20"/>
          <w:szCs w:val="20"/>
        </w:rPr>
        <w:br/>
        <w:t xml:space="preserve">Gem § 5 Abs 2 ASGG ist für die im § 50 Abs 2
ASGG genannten Rechtsstreitigkeiten nur das Gericht örtlich
zuständig, in dessen Sprengel sich der Betrieb befindet, auf den
sich die Rechtsstreitigkeit bezieht.</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Auf Grundlage der obigen Ausführungen begehrt die klagende
Partei folgendes</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center"/>
              <w:textAlignment w:val="top"/>
            </w:pPr>
            <w:r>
              <w:rPr>
                <w:rFonts w:ascii="Arial" w:hAnsi="Arial" w:eastAsia="Arial" w:cs="Arial"/>
                <w:b/>
                <w:bCs/>
                <w:color w:val="000000"/>
                <w:position w:val="0"/>
                <w:sz w:val="20"/>
                <w:szCs w:val="20"/>
                <w:shd w:val="clear" w:color="auto" w:fill="FFFFFF"/>
              </w:rPr>
              <w:t xml:space="preserve">Urteil:</w:t>
            </w:r>
          </w:p>
        </w:tc>
      </w:tr>
      <w:tr>
        <w:trPr>
          <w:trHeight w:val="0" w:hRule="atLeast"/>
        </w:trPr>
        <w:tc>
          <w:tcPr>
            <w:tcW w:w="0" w:type="auto"/>
            <w:shd w:val="clear" w:color="auto" w:fill="FFFFFF"/>
            <w:tcMar>
              <w:top w:w="156" w:type="dxa"/>
              <w:left w:w="0" w:type="auto"/>
              <w:bottom w:w="78" w:type="dxa"/>
              <w:right w:w="0" w:type="auto"/>
            </w:tcMar>
            <w:vAlign w:val="top"/>
          </w:tcPr>
          <w:p>
            <w:pPr>
              <w:numPr>
                <w:ilvl w:val="0"/>
                <w:numId w:val="59915753"/>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Die durch die beklagte Partei am 17.11.2014 ausgesprochene
Entlassung der klagenden Partei wird für rechtsunwirksam
erklärt.</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35</w:t>
      </w:r>
      <w:r>
        <w:rPr>
          <w:rFonts w:ascii="Arial" w:hAnsi="Arial" w:eastAsia="Arial" w:cs="Arial"/>
          <w:color w:val="000000"/>
          <w:sz w:val="20"/>
          <w:szCs w:val="20"/>
        </w:rPr>
        <w:br/>
        <w:t xml:space="preserve">Zum Klagebegehren im Allgemeinen siehe Muster „Klage (Allgemein,
Leistung, lang)“.</w:t>
      </w:r>
    </w:p>
    <w:p>
      <w:pPr>
        <w:widowControl w:val="on"/>
        <w:pBdr/>
        <w:spacing w:before="140" w:after="240" w:line="288" w:lineRule="auto"/>
        <w:ind w:left="0" w:right="0"/>
        <w:jc w:val="left"/>
      </w:pPr>
      <w:r>
        <w:rPr>
          <w:rFonts w:ascii="Arial" w:hAnsi="Arial" w:eastAsia="Arial" w:cs="Arial"/>
          <w:b/>
          <w:bCs/>
          <w:color w:val="000000"/>
          <w:sz w:val="20"/>
          <w:szCs w:val="20"/>
        </w:rPr>
        <w:t xml:space="preserve">36</w:t>
      </w:r>
      <w:r>
        <w:rPr>
          <w:rFonts w:ascii="Arial" w:hAnsi="Arial" w:eastAsia="Arial" w:cs="Arial"/>
          <w:color w:val="000000"/>
          <w:sz w:val="20"/>
          <w:szCs w:val="20"/>
        </w:rPr>
        <w:br/>
        <w:t xml:space="preserve">Gibt das Gericht der Entlassungsanfechtung statt, so ist die
Entlassung rechtsunwirksam. Der Arbeit- bzw Dienstgeber hat das
Arbeitsentgelt sowie alle sonstigen Leistungen, die der Kläger in
der Zeit erhalten hätte, nachzuzahlen. Der Arbeit- bzw Dienstnehmer
ist verpflichtet, seinen Dienst umgehend wieder aufzunehmen.</w:t>
      </w:r>
    </w:p>
    <w:p>
      <w:pPr>
        <w:widowControl w:val="on"/>
        <w:pBdr/>
        <w:spacing w:before="140" w:after="240" w:line="288" w:lineRule="auto"/>
        <w:ind w:left="0" w:right="0"/>
        <w:jc w:val="left"/>
      </w:pPr>
      <w:r>
        <w:rPr>
          <w:rFonts w:ascii="Arial" w:hAnsi="Arial" w:eastAsia="Arial" w:cs="Arial"/>
          <w:b/>
          <w:bCs/>
          <w:color w:val="000000"/>
          <w:sz w:val="20"/>
          <w:szCs w:val="20"/>
        </w:rPr>
        <w:t xml:space="preserve">37</w:t>
      </w:r>
      <w:r>
        <w:rPr>
          <w:rFonts w:ascii="Arial" w:hAnsi="Arial" w:eastAsia="Arial" w:cs="Arial"/>
          <w:color w:val="000000"/>
          <w:sz w:val="20"/>
          <w:szCs w:val="20"/>
        </w:rPr>
        <w:br/>
        <w:t xml:space="preserve">Das Verlangen des betroffenen Arbeitnehmers auf Anfechtung kann
bereits vor Beginn der Anfechtungsfrist gestellt werden, es muss
nur mit dem Kündigungsfall in einem zeitlichen und rechtlichen
Zusammenhang stehen; hiebei ist als Verlangen auf Anfechtung auch
das an den Betriebsrat gerichtete Ansuchen des Arbeitnehmers zu
werten, ihm die Anfechtung der trotz Widerspruch des Betriebsrates
erklärten Kündigung zu übertragen (RIS-Justiz RS0102517).</w:t>
      </w:r>
    </w:p>
    <w:p>
      <w:pPr>
        <w:widowControl w:val="on"/>
        <w:pBdr/>
        <w:spacing w:before="140" w:after="240" w:line="288" w:lineRule="auto"/>
        <w:ind w:left="0" w:right="0"/>
        <w:jc w:val="left"/>
      </w:pPr>
      <w:r>
        <w:rPr>
          <w:rFonts w:ascii="Arial" w:hAnsi="Arial" w:eastAsia="Arial" w:cs="Arial"/>
          <w:b/>
          <w:bCs/>
          <w:color w:val="000000"/>
          <w:sz w:val="20"/>
          <w:szCs w:val="20"/>
        </w:rPr>
        <w:t xml:space="preserve">38</w:t>
      </w:r>
      <w:r>
        <w:rPr>
          <w:rFonts w:ascii="Arial" w:hAnsi="Arial" w:eastAsia="Arial" w:cs="Arial"/>
          <w:color w:val="000000"/>
          <w:sz w:val="20"/>
          <w:szCs w:val="20"/>
        </w:rPr>
        <w:br/>
        <w:t xml:space="preserve">Liegt kein „konzernbezogenes Arbeitsverhältnis“ vor, besteht keine
Verpflichtung des Arbeitgebers, die Möglichkeit der
Weiterbeschäftigung eines Arbeitnehmers, dessen Arbeitsplatz
wegfällt, konzernweit zu prüfen (Abgehen von 9 ObA 310/93)
(RIS-Justiz RS0124832).</w:t>
      </w:r>
    </w:p>
    <w:p>
      <w:pPr>
        <w:widowControl w:val="on"/>
        <w:pBdr/>
        <w:spacing w:before="140" w:after="240" w:line="288" w:lineRule="auto"/>
        <w:ind w:left="0" w:right="0"/>
        <w:jc w:val="left"/>
      </w:pPr>
      <w:r>
        <w:rPr>
          <w:rFonts w:ascii="Arial" w:hAnsi="Arial" w:eastAsia="Arial" w:cs="Arial"/>
          <w:b/>
          <w:bCs/>
          <w:color w:val="000000"/>
          <w:sz w:val="20"/>
          <w:szCs w:val="20"/>
        </w:rPr>
        <w:t xml:space="preserve">39</w:t>
      </w:r>
      <w:r>
        <w:rPr>
          <w:rFonts w:ascii="Arial" w:hAnsi="Arial" w:eastAsia="Arial" w:cs="Arial"/>
          <w:color w:val="000000"/>
          <w:sz w:val="20"/>
          <w:szCs w:val="20"/>
        </w:rPr>
        <w:br/>
        <w:t xml:space="preserve">Dem Arbeitnehmer ist die Berufung auf § 879 ABGB bei allen
nunmehr unter § 105 Abs 3 Z 1 und 2 ArbVG fallenden
(materiellen) Anfechtungssachverhalten grundsätzlich verwehrt.
§ 879 ABGB bleibt aber jedenfalls für Arbeitnehmer, die nicht
unter den Geltungsbereich des ArbVG fallen, voll anwendbar. Der
Sittenwidrigkeit von Rechtshandlungen und Rechtsgeschäften kommt
nämlich eine so allgemeine und fundamentale Bedeutung zu, dass es
nicht zulässig erscheint, ein privatrechtliches Grundprinzip durch
die kollektivrechtliche Konstruktion des Kündigungsschutzes
vollkommen zu substituieren. Soweit nicht der Gesetzgeber den
Schutz gegen Motivkündigungen besonders geregelt hat und diese
Regeln nicht wenigstens analog anzuwenden sind, muss daher der
Rückgriff auf § 879 ABGB gewährleistet sein (RIS-Justiz
RS0018163).</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915753">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897281616">
    <w:multiLevelType w:val="hybridMultilevel"/>
    <w:lvl w:ilvl="0">
      <w:start w:val="1"/>
      <w:numFmt w:val="lowerLetter"/>
      <w:lvlText w:val="%1."/>
      <w:lvlJc w:val="left"/>
      <w:pPr>
        <w:ind w:left="720" w:hanging="360"/>
      </w:pPr>
      <w:rPr/>
    </w:lvl>
    <w:lvl w:ilvl="1">
      <w:start w:val=""/>
      <w:numFmt w:val="lowerLetter"/>
      <w:lvlText w:val="%2."/>
      <w:lvlJc w:val="left"/>
      <w:pPr>
        <w:ind w:left="1440" w:hanging="360"/>
      </w:pPr>
      <w:rPr/>
    </w:lvl>
    <w:lvl w:ilvl="2">
      <w:start w:val=""/>
      <w:numFmt w:val="lowerLetter"/>
      <w:lvlText w:val="%3."/>
      <w:lvlJc w:val="left"/>
      <w:pPr>
        <w:ind w:left="2160" w:hanging="360"/>
      </w:pPr>
      <w:rPr/>
    </w:lvl>
    <w:lvl w:ilvl="3">
      <w:start w:val=""/>
      <w:numFmt w:val="lowerLetter"/>
      <w:lvlText w:val="%4."/>
      <w:lvlJc w:val="left"/>
      <w:pPr>
        <w:ind w:left="2880" w:hanging="360"/>
      </w:pPr>
      <w:rPr/>
    </w:lvl>
    <w:lvl w:ilvl="4">
      <w:start w:val=""/>
      <w:numFmt w:val="lowerLetter"/>
      <w:lvlText w:val="%5."/>
      <w:lvlJc w:val="left"/>
      <w:pPr>
        <w:ind w:left="3600" w:hanging="360"/>
      </w:pPr>
      <w:rPr/>
    </w:lvl>
    <w:lvl w:ilvl="5">
      <w:start w:val=""/>
      <w:numFmt w:val="lowerLetter"/>
      <w:lvlText w:val="%6."/>
      <w:lvlJc w:val="left"/>
      <w:pPr>
        <w:ind w:left="4320" w:hanging="360"/>
      </w:pPr>
      <w:rPr/>
    </w:lvl>
    <w:lvl w:ilvl="6">
      <w:start w:val=""/>
      <w:numFmt w:val="lowerLetter"/>
      <w:lvlText w:val="%7."/>
      <w:lvlJc w:val="left"/>
      <w:pPr>
        <w:ind w:left="5040" w:hanging="360"/>
      </w:pPr>
      <w:rPr/>
    </w:lvl>
    <w:lvl w:ilvl="7">
      <w:start w:val=""/>
      <w:numFmt w:val="lowerLetter"/>
      <w:lvlText w:val="%8."/>
      <w:lvlJc w:val="left"/>
      <w:pPr>
        <w:ind w:left="5760" w:hanging="360"/>
      </w:pPr>
      <w:rPr/>
    </w:lvl>
    <w:lvl w:ilvl="8">
      <w:start w:val=""/>
      <w:numFmt w:val="lowerLetter"/>
      <w:lvlText w:val="%9."/>
      <w:lvlJc w:val="left"/>
      <w:pPr>
        <w:ind w:left="6480" w:hanging="360"/>
      </w:pPr>
      <w:rPr/>
    </w:lvl>
  </w:abstractNum>
  <w:abstractNum w:abstractNumId="336205313">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301026634">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518938489">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82210538">
    <w:multiLevelType w:val="hybridMultilevel"/>
    <w:lvl w:ilvl="0" w:tplc="39696593">
      <w:start w:val="1"/>
      <w:numFmt w:val="decimal"/>
      <w:lvlText w:val="%1."/>
      <w:lvlJc w:val="left"/>
      <w:pPr>
        <w:ind w:left="720" w:hanging="360"/>
      </w:pPr>
    </w:lvl>
    <w:lvl w:ilvl="1" w:tplc="39696593" w:tentative="1">
      <w:start w:val="1"/>
      <w:numFmt w:val="lowerLetter"/>
      <w:lvlText w:val="%2."/>
      <w:lvlJc w:val="left"/>
      <w:pPr>
        <w:ind w:left="1440" w:hanging="360"/>
      </w:pPr>
    </w:lvl>
    <w:lvl w:ilvl="2" w:tplc="39696593" w:tentative="1">
      <w:start w:val="1"/>
      <w:numFmt w:val="lowerRoman"/>
      <w:lvlText w:val="%3."/>
      <w:lvlJc w:val="right"/>
      <w:pPr>
        <w:ind w:left="2160" w:hanging="180"/>
      </w:pPr>
    </w:lvl>
    <w:lvl w:ilvl="3" w:tplc="39696593" w:tentative="1">
      <w:start w:val="1"/>
      <w:numFmt w:val="decimal"/>
      <w:lvlText w:val="%4."/>
      <w:lvlJc w:val="left"/>
      <w:pPr>
        <w:ind w:left="2880" w:hanging="360"/>
      </w:pPr>
    </w:lvl>
    <w:lvl w:ilvl="4" w:tplc="39696593" w:tentative="1">
      <w:start w:val="1"/>
      <w:numFmt w:val="lowerLetter"/>
      <w:lvlText w:val="%5."/>
      <w:lvlJc w:val="left"/>
      <w:pPr>
        <w:ind w:left="3600" w:hanging="360"/>
      </w:pPr>
    </w:lvl>
    <w:lvl w:ilvl="5" w:tplc="39696593" w:tentative="1">
      <w:start w:val="1"/>
      <w:numFmt w:val="lowerRoman"/>
      <w:lvlText w:val="%6."/>
      <w:lvlJc w:val="right"/>
      <w:pPr>
        <w:ind w:left="4320" w:hanging="180"/>
      </w:pPr>
    </w:lvl>
    <w:lvl w:ilvl="6" w:tplc="39696593" w:tentative="1">
      <w:start w:val="1"/>
      <w:numFmt w:val="decimal"/>
      <w:lvlText w:val="%7."/>
      <w:lvlJc w:val="left"/>
      <w:pPr>
        <w:ind w:left="5040" w:hanging="360"/>
      </w:pPr>
    </w:lvl>
    <w:lvl w:ilvl="7" w:tplc="39696593" w:tentative="1">
      <w:start w:val="1"/>
      <w:numFmt w:val="lowerLetter"/>
      <w:lvlText w:val="%8."/>
      <w:lvlJc w:val="left"/>
      <w:pPr>
        <w:ind w:left="5760" w:hanging="360"/>
      </w:pPr>
    </w:lvl>
    <w:lvl w:ilvl="8" w:tplc="39696593" w:tentative="1">
      <w:start w:val="1"/>
      <w:numFmt w:val="lowerRoman"/>
      <w:lvlText w:val="%9."/>
      <w:lvlJc w:val="right"/>
      <w:pPr>
        <w:ind w:left="6480" w:hanging="180"/>
      </w:pPr>
    </w:lvl>
  </w:abstractNum>
  <w:abstractNum w:abstractNumId="82210537">
    <w:multiLevelType w:val="hybridMultilevel"/>
    <w:lvl w:ilvl="0" w:tplc="75912595">
      <w:start w:val="1"/>
      <w:numFmt w:val="decimal"/>
      <w:lvlText w:val="%1."/>
      <w:lvlJc w:val="left"/>
      <w:pPr>
        <w:ind w:left="720" w:hanging="360"/>
      </w:pPr>
    </w:lvl>
    <w:lvl w:ilvl="1" w:tplc="75912595" w:tentative="1">
      <w:start w:val="1"/>
      <w:numFmt w:val="lowerLetter"/>
      <w:lvlText w:val="%2."/>
      <w:lvlJc w:val="left"/>
      <w:pPr>
        <w:ind w:left="1440" w:hanging="360"/>
      </w:pPr>
    </w:lvl>
    <w:lvl w:ilvl="2" w:tplc="75912595" w:tentative="1">
      <w:start w:val="1"/>
      <w:numFmt w:val="lowerRoman"/>
      <w:lvlText w:val="%3."/>
      <w:lvlJc w:val="right"/>
      <w:pPr>
        <w:ind w:left="2160" w:hanging="180"/>
      </w:pPr>
    </w:lvl>
    <w:lvl w:ilvl="3" w:tplc="75912595" w:tentative="1">
      <w:start w:val="1"/>
      <w:numFmt w:val="decimal"/>
      <w:lvlText w:val="%4."/>
      <w:lvlJc w:val="left"/>
      <w:pPr>
        <w:ind w:left="2880" w:hanging="360"/>
      </w:pPr>
    </w:lvl>
    <w:lvl w:ilvl="4" w:tplc="75912595" w:tentative="1">
      <w:start w:val="1"/>
      <w:numFmt w:val="lowerLetter"/>
      <w:lvlText w:val="%5."/>
      <w:lvlJc w:val="left"/>
      <w:pPr>
        <w:ind w:left="3600" w:hanging="360"/>
      </w:pPr>
    </w:lvl>
    <w:lvl w:ilvl="5" w:tplc="75912595" w:tentative="1">
      <w:start w:val="1"/>
      <w:numFmt w:val="lowerRoman"/>
      <w:lvlText w:val="%6."/>
      <w:lvlJc w:val="right"/>
      <w:pPr>
        <w:ind w:left="4320" w:hanging="180"/>
      </w:pPr>
    </w:lvl>
    <w:lvl w:ilvl="6" w:tplc="75912595" w:tentative="1">
      <w:start w:val="1"/>
      <w:numFmt w:val="decimal"/>
      <w:lvlText w:val="%7."/>
      <w:lvlJc w:val="left"/>
      <w:pPr>
        <w:ind w:left="5040" w:hanging="360"/>
      </w:pPr>
    </w:lvl>
    <w:lvl w:ilvl="7" w:tplc="75912595" w:tentative="1">
      <w:start w:val="1"/>
      <w:numFmt w:val="lowerLetter"/>
      <w:lvlText w:val="%8."/>
      <w:lvlJc w:val="left"/>
      <w:pPr>
        <w:ind w:left="5760" w:hanging="360"/>
      </w:pPr>
    </w:lvl>
    <w:lvl w:ilvl="8" w:tplc="75912595" w:tentative="1">
      <w:start w:val="1"/>
      <w:numFmt w:val="lowerRoman"/>
      <w:lvlText w:val="%9."/>
      <w:lvlJc w:val="right"/>
      <w:pPr>
        <w:ind w:left="6480" w:hanging="180"/>
      </w:pPr>
    </w:lvl>
  </w:abstractNum>
  <w:abstractNum w:abstractNumId="82210536">
    <w:multiLevelType w:val="hybridMultilevel"/>
    <w:lvl w:ilvl="0" w:tplc="41664779">
      <w:start w:val="1"/>
      <w:numFmt w:val="decimal"/>
      <w:lvlText w:val="%1."/>
      <w:lvlJc w:val="left"/>
      <w:pPr>
        <w:ind w:left="720" w:hanging="360"/>
      </w:pPr>
    </w:lvl>
    <w:lvl w:ilvl="1" w:tplc="41664779" w:tentative="1">
      <w:start w:val="1"/>
      <w:numFmt w:val="lowerLetter"/>
      <w:lvlText w:val="%2."/>
      <w:lvlJc w:val="left"/>
      <w:pPr>
        <w:ind w:left="1440" w:hanging="360"/>
      </w:pPr>
    </w:lvl>
    <w:lvl w:ilvl="2" w:tplc="41664779" w:tentative="1">
      <w:start w:val="1"/>
      <w:numFmt w:val="lowerRoman"/>
      <w:lvlText w:val="%3."/>
      <w:lvlJc w:val="right"/>
      <w:pPr>
        <w:ind w:left="2160" w:hanging="180"/>
      </w:pPr>
    </w:lvl>
    <w:lvl w:ilvl="3" w:tplc="41664779" w:tentative="1">
      <w:start w:val="1"/>
      <w:numFmt w:val="decimal"/>
      <w:lvlText w:val="%4."/>
      <w:lvlJc w:val="left"/>
      <w:pPr>
        <w:ind w:left="2880" w:hanging="360"/>
      </w:pPr>
    </w:lvl>
    <w:lvl w:ilvl="4" w:tplc="41664779" w:tentative="1">
      <w:start w:val="1"/>
      <w:numFmt w:val="lowerLetter"/>
      <w:lvlText w:val="%5."/>
      <w:lvlJc w:val="left"/>
      <w:pPr>
        <w:ind w:left="3600" w:hanging="360"/>
      </w:pPr>
    </w:lvl>
    <w:lvl w:ilvl="5" w:tplc="41664779" w:tentative="1">
      <w:start w:val="1"/>
      <w:numFmt w:val="lowerRoman"/>
      <w:lvlText w:val="%6."/>
      <w:lvlJc w:val="right"/>
      <w:pPr>
        <w:ind w:left="4320" w:hanging="180"/>
      </w:pPr>
    </w:lvl>
    <w:lvl w:ilvl="6" w:tplc="41664779" w:tentative="1">
      <w:start w:val="1"/>
      <w:numFmt w:val="decimal"/>
      <w:lvlText w:val="%7."/>
      <w:lvlJc w:val="left"/>
      <w:pPr>
        <w:ind w:left="5040" w:hanging="360"/>
      </w:pPr>
    </w:lvl>
    <w:lvl w:ilvl="7" w:tplc="41664779" w:tentative="1">
      <w:start w:val="1"/>
      <w:numFmt w:val="lowerLetter"/>
      <w:lvlText w:val="%8."/>
      <w:lvlJc w:val="left"/>
      <w:pPr>
        <w:ind w:left="5760" w:hanging="360"/>
      </w:pPr>
    </w:lvl>
    <w:lvl w:ilvl="8" w:tplc="41664779" w:tentative="1">
      <w:start w:val="1"/>
      <w:numFmt w:val="lowerRoman"/>
      <w:lvlText w:val="%9."/>
      <w:lvlJc w:val="right"/>
      <w:pPr>
        <w:ind w:left="6480" w:hanging="180"/>
      </w:pPr>
    </w:lvl>
  </w:abstractNum>
  <w:abstractNum w:abstractNumId="82210535">
    <w:multiLevelType w:val="hybridMultilevel"/>
    <w:lvl w:ilvl="0" w:tplc="53722613">
      <w:start w:val="1"/>
      <w:numFmt w:val="decimal"/>
      <w:lvlText w:val="%1."/>
      <w:lvlJc w:val="left"/>
      <w:pPr>
        <w:ind w:left="720" w:hanging="360"/>
      </w:pPr>
    </w:lvl>
    <w:lvl w:ilvl="1" w:tplc="53722613" w:tentative="1">
      <w:start w:val="1"/>
      <w:numFmt w:val="lowerLetter"/>
      <w:lvlText w:val="%2."/>
      <w:lvlJc w:val="left"/>
      <w:pPr>
        <w:ind w:left="1440" w:hanging="360"/>
      </w:pPr>
    </w:lvl>
    <w:lvl w:ilvl="2" w:tplc="53722613" w:tentative="1">
      <w:start w:val="1"/>
      <w:numFmt w:val="lowerRoman"/>
      <w:lvlText w:val="%3."/>
      <w:lvlJc w:val="right"/>
      <w:pPr>
        <w:ind w:left="2160" w:hanging="180"/>
      </w:pPr>
    </w:lvl>
    <w:lvl w:ilvl="3" w:tplc="53722613" w:tentative="1">
      <w:start w:val="1"/>
      <w:numFmt w:val="decimal"/>
      <w:lvlText w:val="%4."/>
      <w:lvlJc w:val="left"/>
      <w:pPr>
        <w:ind w:left="2880" w:hanging="360"/>
      </w:pPr>
    </w:lvl>
    <w:lvl w:ilvl="4" w:tplc="53722613" w:tentative="1">
      <w:start w:val="1"/>
      <w:numFmt w:val="lowerLetter"/>
      <w:lvlText w:val="%5."/>
      <w:lvlJc w:val="left"/>
      <w:pPr>
        <w:ind w:left="3600" w:hanging="360"/>
      </w:pPr>
    </w:lvl>
    <w:lvl w:ilvl="5" w:tplc="53722613" w:tentative="1">
      <w:start w:val="1"/>
      <w:numFmt w:val="lowerRoman"/>
      <w:lvlText w:val="%6."/>
      <w:lvlJc w:val="right"/>
      <w:pPr>
        <w:ind w:left="4320" w:hanging="180"/>
      </w:pPr>
    </w:lvl>
    <w:lvl w:ilvl="6" w:tplc="53722613" w:tentative="1">
      <w:start w:val="1"/>
      <w:numFmt w:val="decimal"/>
      <w:lvlText w:val="%7."/>
      <w:lvlJc w:val="left"/>
      <w:pPr>
        <w:ind w:left="5040" w:hanging="360"/>
      </w:pPr>
    </w:lvl>
    <w:lvl w:ilvl="7" w:tplc="53722613" w:tentative="1">
      <w:start w:val="1"/>
      <w:numFmt w:val="lowerLetter"/>
      <w:lvlText w:val="%8."/>
      <w:lvlJc w:val="left"/>
      <w:pPr>
        <w:ind w:left="5760" w:hanging="360"/>
      </w:pPr>
    </w:lvl>
    <w:lvl w:ilvl="8" w:tplc="53722613" w:tentative="1">
      <w:start w:val="1"/>
      <w:numFmt w:val="lowerRoman"/>
      <w:lvlText w:val="%9."/>
      <w:lvlJc w:val="right"/>
      <w:pPr>
        <w:ind w:left="6480" w:hanging="180"/>
      </w:pPr>
    </w:lvl>
  </w:abstractNum>
  <w:abstractNum w:abstractNumId="82210534">
    <w:multiLevelType w:val="hybridMultilevel"/>
    <w:lvl w:ilvl="0" w:tplc="61981328">
      <w:start w:val="1"/>
      <w:numFmt w:val="decimal"/>
      <w:lvlText w:val="%1."/>
      <w:lvlJc w:val="left"/>
      <w:pPr>
        <w:ind w:left="720" w:hanging="360"/>
      </w:pPr>
    </w:lvl>
    <w:lvl w:ilvl="1" w:tplc="61981328" w:tentative="1">
      <w:start w:val="1"/>
      <w:numFmt w:val="lowerLetter"/>
      <w:lvlText w:val="%2."/>
      <w:lvlJc w:val="left"/>
      <w:pPr>
        <w:ind w:left="1440" w:hanging="360"/>
      </w:pPr>
    </w:lvl>
    <w:lvl w:ilvl="2" w:tplc="61981328" w:tentative="1">
      <w:start w:val="1"/>
      <w:numFmt w:val="lowerRoman"/>
      <w:lvlText w:val="%3."/>
      <w:lvlJc w:val="right"/>
      <w:pPr>
        <w:ind w:left="2160" w:hanging="180"/>
      </w:pPr>
    </w:lvl>
    <w:lvl w:ilvl="3" w:tplc="61981328" w:tentative="1">
      <w:start w:val="1"/>
      <w:numFmt w:val="decimal"/>
      <w:lvlText w:val="%4."/>
      <w:lvlJc w:val="left"/>
      <w:pPr>
        <w:ind w:left="2880" w:hanging="360"/>
      </w:pPr>
    </w:lvl>
    <w:lvl w:ilvl="4" w:tplc="61981328" w:tentative="1">
      <w:start w:val="1"/>
      <w:numFmt w:val="lowerLetter"/>
      <w:lvlText w:val="%5."/>
      <w:lvlJc w:val="left"/>
      <w:pPr>
        <w:ind w:left="3600" w:hanging="360"/>
      </w:pPr>
    </w:lvl>
    <w:lvl w:ilvl="5" w:tplc="61981328" w:tentative="1">
      <w:start w:val="1"/>
      <w:numFmt w:val="lowerRoman"/>
      <w:lvlText w:val="%6."/>
      <w:lvlJc w:val="right"/>
      <w:pPr>
        <w:ind w:left="4320" w:hanging="180"/>
      </w:pPr>
    </w:lvl>
    <w:lvl w:ilvl="6" w:tplc="61981328" w:tentative="1">
      <w:start w:val="1"/>
      <w:numFmt w:val="decimal"/>
      <w:lvlText w:val="%7."/>
      <w:lvlJc w:val="left"/>
      <w:pPr>
        <w:ind w:left="5040" w:hanging="360"/>
      </w:pPr>
    </w:lvl>
    <w:lvl w:ilvl="7" w:tplc="61981328" w:tentative="1">
      <w:start w:val="1"/>
      <w:numFmt w:val="lowerLetter"/>
      <w:lvlText w:val="%8."/>
      <w:lvlJc w:val="left"/>
      <w:pPr>
        <w:ind w:left="5760" w:hanging="360"/>
      </w:pPr>
    </w:lvl>
    <w:lvl w:ilvl="8" w:tplc="61981328" w:tentative="1">
      <w:start w:val="1"/>
      <w:numFmt w:val="lowerRoman"/>
      <w:lvlText w:val="%9."/>
      <w:lvlJc w:val="right"/>
      <w:pPr>
        <w:ind w:left="6480" w:hanging="180"/>
      </w:pPr>
    </w:lvl>
  </w:abstractNum>
  <w:abstractNum w:abstractNumId="601003553">
    <w:multiLevelType w:val="hybridMultilevel"/>
    <w:lvl w:ilvl="0">
      <w:start w:val="1"/>
      <w:numFmt w:val="lowerLetter"/>
      <w:lvlText w:val="%1."/>
      <w:lvlJc w:val="left"/>
      <w:pPr>
        <w:ind w:left="720" w:hanging="360"/>
      </w:pPr>
      <w:rPr/>
    </w:lvl>
    <w:lvl w:ilvl="1">
      <w:start w:val=""/>
      <w:numFmt w:val="lowerLetter"/>
      <w:lvlText w:val="%2."/>
      <w:lvlJc w:val="left"/>
      <w:pPr>
        <w:ind w:left="1440" w:hanging="360"/>
      </w:pPr>
      <w:rPr/>
    </w:lvl>
    <w:lvl w:ilvl="2">
      <w:start w:val=""/>
      <w:numFmt w:val="lowerLetter"/>
      <w:lvlText w:val="%3."/>
      <w:lvlJc w:val="left"/>
      <w:pPr>
        <w:ind w:left="2160" w:hanging="360"/>
      </w:pPr>
      <w:rPr/>
    </w:lvl>
    <w:lvl w:ilvl="3">
      <w:start w:val=""/>
      <w:numFmt w:val="lowerLetter"/>
      <w:lvlText w:val="%4."/>
      <w:lvlJc w:val="left"/>
      <w:pPr>
        <w:ind w:left="2880" w:hanging="360"/>
      </w:pPr>
      <w:rPr/>
    </w:lvl>
    <w:lvl w:ilvl="4">
      <w:start w:val=""/>
      <w:numFmt w:val="lowerLetter"/>
      <w:lvlText w:val="%5."/>
      <w:lvlJc w:val="left"/>
      <w:pPr>
        <w:ind w:left="3600" w:hanging="360"/>
      </w:pPr>
      <w:rPr/>
    </w:lvl>
    <w:lvl w:ilvl="5">
      <w:start w:val=""/>
      <w:numFmt w:val="lowerLetter"/>
      <w:lvlText w:val="%6."/>
      <w:lvlJc w:val="left"/>
      <w:pPr>
        <w:ind w:left="4320" w:hanging="360"/>
      </w:pPr>
      <w:rPr/>
    </w:lvl>
    <w:lvl w:ilvl="6">
      <w:start w:val=""/>
      <w:numFmt w:val="lowerLetter"/>
      <w:lvlText w:val="%7."/>
      <w:lvlJc w:val="left"/>
      <w:pPr>
        <w:ind w:left="5040" w:hanging="360"/>
      </w:pPr>
      <w:rPr/>
    </w:lvl>
    <w:lvl w:ilvl="7">
      <w:start w:val=""/>
      <w:numFmt w:val="lowerLetter"/>
      <w:lvlText w:val="%8."/>
      <w:lvlJc w:val="left"/>
      <w:pPr>
        <w:ind w:left="5760" w:hanging="360"/>
      </w:pPr>
      <w:rPr/>
    </w:lvl>
    <w:lvl w:ilvl="8">
      <w:start w:val=""/>
      <w:numFmt w:val="lowerLetter"/>
      <w:lvlText w:val="%9."/>
      <w:lvlJc w:val="left"/>
      <w:pPr>
        <w:ind w:left="6480" w:hanging="360"/>
      </w:pPr>
      <w:rPr/>
    </w:lvl>
  </w:abstractNum>
  <w:abstractNum w:abstractNumId="150751323">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82210533">
    <w:multiLevelType w:val="hybridMultilevel"/>
    <w:lvl w:ilvl="0" w:tplc="63074592">
      <w:start w:val="1"/>
      <w:numFmt w:val="decimal"/>
      <w:lvlText w:val="%1."/>
      <w:lvlJc w:val="left"/>
      <w:pPr>
        <w:ind w:left="720" w:hanging="360"/>
      </w:pPr>
    </w:lvl>
    <w:lvl w:ilvl="1" w:tplc="63074592" w:tentative="1">
      <w:start w:val="1"/>
      <w:numFmt w:val="lowerLetter"/>
      <w:lvlText w:val="%2."/>
      <w:lvlJc w:val="left"/>
      <w:pPr>
        <w:ind w:left="1440" w:hanging="360"/>
      </w:pPr>
    </w:lvl>
    <w:lvl w:ilvl="2" w:tplc="63074592" w:tentative="1">
      <w:start w:val="1"/>
      <w:numFmt w:val="lowerRoman"/>
      <w:lvlText w:val="%3."/>
      <w:lvlJc w:val="right"/>
      <w:pPr>
        <w:ind w:left="2160" w:hanging="180"/>
      </w:pPr>
    </w:lvl>
    <w:lvl w:ilvl="3" w:tplc="63074592" w:tentative="1">
      <w:start w:val="1"/>
      <w:numFmt w:val="decimal"/>
      <w:lvlText w:val="%4."/>
      <w:lvlJc w:val="left"/>
      <w:pPr>
        <w:ind w:left="2880" w:hanging="360"/>
      </w:pPr>
    </w:lvl>
    <w:lvl w:ilvl="4" w:tplc="63074592" w:tentative="1">
      <w:start w:val="1"/>
      <w:numFmt w:val="lowerLetter"/>
      <w:lvlText w:val="%5."/>
      <w:lvlJc w:val="left"/>
      <w:pPr>
        <w:ind w:left="3600" w:hanging="360"/>
      </w:pPr>
    </w:lvl>
    <w:lvl w:ilvl="5" w:tplc="63074592" w:tentative="1">
      <w:start w:val="1"/>
      <w:numFmt w:val="lowerRoman"/>
      <w:lvlText w:val="%6."/>
      <w:lvlJc w:val="right"/>
      <w:pPr>
        <w:ind w:left="4320" w:hanging="180"/>
      </w:pPr>
    </w:lvl>
    <w:lvl w:ilvl="6" w:tplc="63074592" w:tentative="1">
      <w:start w:val="1"/>
      <w:numFmt w:val="decimal"/>
      <w:lvlText w:val="%7."/>
      <w:lvlJc w:val="left"/>
      <w:pPr>
        <w:ind w:left="5040" w:hanging="360"/>
      </w:pPr>
    </w:lvl>
    <w:lvl w:ilvl="7" w:tplc="63074592" w:tentative="1">
      <w:start w:val="1"/>
      <w:numFmt w:val="lowerLetter"/>
      <w:lvlText w:val="%8."/>
      <w:lvlJc w:val="left"/>
      <w:pPr>
        <w:ind w:left="5760" w:hanging="360"/>
      </w:pPr>
    </w:lvl>
    <w:lvl w:ilvl="8" w:tplc="63074592" w:tentative="1">
      <w:start w:val="1"/>
      <w:numFmt w:val="lowerRoman"/>
      <w:lvlText w:val="%9."/>
      <w:lvlJc w:val="right"/>
      <w:pPr>
        <w:ind w:left="6480" w:hanging="180"/>
      </w:pPr>
    </w:lvl>
  </w:abstractNum>
  <w:abstractNum w:abstractNumId="82210532">
    <w:multiLevelType w:val="hybridMultilevel"/>
    <w:lvl w:ilvl="0" w:tplc="798392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210532">
    <w:abstractNumId w:val="82210532"/>
  </w:num>
  <w:num w:numId="82210533">
    <w:abstractNumId w:val="82210533"/>
  </w:num>
  <w:num w:numId="150751323">
    <w:abstractNumId w:val="150751323"/>
  </w:num>
  <w:num w:numId="601003553">
    <w:abstractNumId w:val="601003553"/>
  </w:num>
  <w:num w:numId="82210534">
    <w:abstractNumId w:val="82210534"/>
  </w:num>
  <w:num w:numId="82210535">
    <w:abstractNumId w:val="82210535"/>
  </w:num>
  <w:num w:numId="82210536">
    <w:abstractNumId w:val="82210536"/>
  </w:num>
  <w:num w:numId="82210537">
    <w:abstractNumId w:val="82210537"/>
  </w:num>
  <w:num w:numId="82210538">
    <w:abstractNumId w:val="82210538"/>
  </w:num>
  <w:num w:numId="518938489">
    <w:abstractNumId w:val="518938489"/>
  </w:num>
  <w:num w:numId="301026634">
    <w:abstractNumId w:val="301026634"/>
  </w:num>
  <w:num w:numId="336205313">
    <w:abstractNumId w:val="336205313"/>
  </w:num>
  <w:num w:numId="897281616">
    <w:abstractNumId w:val="897281616"/>
  </w:num>
  <w:num w:numId="59915753">
    <w:abstractNumId w:val="599157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492077013" Type="http://schemas.openxmlformats.org/officeDocument/2006/relationships/numbering" Target="numbering.xml"/><Relationship Id="rId173421251"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