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10834058" w:name="document"/>
    <w:bookmarkEnd w:id="10834058"/>
    <w:p/>
    <w:p>
      <w:pPr>
        <w:widowControl w:val="on"/>
        <w:pBdr/>
        <w:spacing w:before="0" w:after="280" w:line="240" w:lineRule="auto"/>
        <w:ind w:left="0" w:right="0"/>
        <w:jc w:val="left"/>
      </w:pPr>
      <w:r>
        <w:rPr>
          <w:rFonts w:ascii="Arial" w:hAnsi="Arial" w:eastAsia="Arial" w:cs="Arial"/>
          <w:color w:val="363A40"/>
          <w:sz w:val="24"/>
          <w:szCs w:val="24"/>
        </w:rPr>
        <w:t xml:space="preserve">Dokument-ID: 892818 | Wolfgang Schöberl -
Stanislava Doganova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Klage auf Pflichtteilsergänzung bei Hinzurechnung von
Schenkungen</w:t>
      </w:r>
    </w:p>
    <w:p>
      <w:pPr>
        <w:widowControl w:val="on"/>
        <w:pBdr/>
        <w:spacing w:before="140" w:after="240" w:line="288" w:lineRule="auto"/>
        <w:ind w:left="0" w:right="0"/>
        <w:jc w:val="left"/>
      </w:pPr>
      <w:r>
        <w:rPr>
          <w:rFonts w:ascii="Arial" w:hAnsi="Arial" w:eastAsia="Arial" w:cs="Arial"/>
          <w:b/>
          <w:bCs/>
          <w:color w:val="000000"/>
          <w:sz w:val="20"/>
          <w:szCs w:val="20"/>
        </w:rPr>
        <w:t xml:space="preserve">Vorbemerkungen</w:t>
      </w:r>
      <w:r>
        <w:rPr>
          <w:rFonts w:ascii="Arial" w:hAnsi="Arial" w:eastAsia="Arial" w:cs="Arial"/>
          <w:color w:val="000000"/>
          <w:sz w:val="20"/>
          <w:szCs w:val="20"/>
        </w:rPr>
        <w:br/>
        <w:t xml:space="preserve">Das Pflichtteilsrecht bezweckt, dass der Erblasser nicht vollkommen
frei über sein Vermögen verfügen kann, sondern bestimmte nahe
Verwandte – die Pflichtteilsberechtigten – auf jeden Fall Werte
erhalten sollen. Dies soll auch nicht dadurch umgangen werden
können, dass der Erblasser sein Vermögen zu Lebzeiten verschenkt,
sodass für die Pflichtteilsberechtigten im Nachlass nichts mehr
vorhanden ist. Daher gibt § 789 ABGB dem
Pflichtteilsberechtigten einen direkten Anspruch gegen den
Beschenkten auf Ergänzung des Pflichtteils aus dem Gegenstand der
Schenkung, soweit die Verlassenschaft zur Deckung des durch die
Hinzurechnung der Schenkung erhöhten Pflichtteils nicht ausreicht.
Die Besonderheit dieser Klage besteht darin, dass das Klagebegehren
auf Zahlung bei sonstiger Exekution in den Schenkungsgegenstand
lautet; es kann also nicht Exekution auf das gesamte Vermögen des
Beklagten geführt werden.</w:t>
      </w:r>
    </w:p>
    <w:p>
      <w:r>
        <w:pict>
          <v:rect id="_x0000_i1026" style="width:0;height:1.5pt" o:hralign="center" o:hrstd="t" o:hr="t" o:hrnoshade="t" fillcolor="#a0a0a0" stroked="f"/>
        </w:pict>
      </w:r>
    </w:p>
    <w:p>
      <w:pPr>
        <w:widowControl w:val="on"/>
        <w:pBdr/>
        <w:spacing w:before="140" w:after="240" w:line="288" w:lineRule="auto"/>
        <w:ind w:left="0" w:right="0"/>
        <w:jc w:val="right"/>
      </w:pPr>
      <w:r>
        <w:rPr>
          <w:rFonts w:ascii="Arial" w:hAnsi="Arial" w:eastAsia="Arial" w:cs="Arial"/>
          <w:color w:val="000000"/>
          <w:sz w:val="20"/>
          <w:szCs w:val="20"/>
        </w:rPr>
        <w:t xml:space="preserve">Gebühreneinzug:</w:t>
      </w:r>
      <w:r>
        <w:rPr>
          <w:rFonts w:ascii="Arial" w:hAnsi="Arial" w:eastAsia="Arial" w:cs="Arial"/>
          <w:color w:val="000000"/>
          <w:sz w:val="20"/>
          <w:szCs w:val="20"/>
        </w:rPr>
        <w:br/>
        <w:t xml:space="preserve">Über Konto: …</w:t>
      </w:r>
      <w:r>
        <w:rPr>
          <w:rFonts w:ascii="Arial" w:hAnsi="Arial" w:eastAsia="Arial" w:cs="Arial"/>
          <w:color w:val="000000"/>
          <w:sz w:val="20"/>
          <w:szCs w:val="20"/>
        </w:rPr>
        <w:br/>
        <w:t xml:space="preserve">Bei der … Bank</w:t>
      </w:r>
    </w:p>
    <w:p>
      <w:pPr>
        <w:widowControl w:val="on"/>
        <w:pBdr/>
        <w:spacing w:before="140" w:after="240" w:line="288" w:lineRule="auto"/>
        <w:ind w:left="0" w:right="0"/>
        <w:jc w:val="center"/>
      </w:pPr>
      <w:r>
        <w:rPr>
          <w:rFonts w:ascii="Arial" w:hAnsi="Arial" w:eastAsia="Arial" w:cs="Arial"/>
          <w:color w:val="000000"/>
          <w:sz w:val="20"/>
          <w:szCs w:val="20"/>
        </w:rPr>
        <w:t xml:space="preserve">Rechtsanwalt Dr. Wolfgang
Schöberl</w:t>
      </w:r>
      <w:r>
        <w:rPr>
          <w:rFonts w:ascii="Arial" w:hAnsi="Arial" w:eastAsia="Arial" w:cs="Arial"/>
          <w:color w:val="000000"/>
          <w:sz w:val="20"/>
          <w:szCs w:val="20"/>
        </w:rPr>
        <w:br/>
        <w:t xml:space="preserve">Universitätsstraße 11</w:t>
      </w:r>
      <w:r>
        <w:rPr>
          <w:rFonts w:ascii="Arial" w:hAnsi="Arial" w:eastAsia="Arial" w:cs="Arial"/>
          <w:color w:val="000000"/>
          <w:sz w:val="20"/>
          <w:szCs w:val="20"/>
        </w:rPr>
        <w:br/>
        <w:t xml:space="preserve">1010 Wien</w:t>
      </w:r>
    </w:p>
    <w:p>
      <w:pPr>
        <w:widowControl w:val="on"/>
        <w:pBdr/>
        <w:spacing w:before="140" w:after="240" w:line="288" w:lineRule="auto"/>
        <w:ind w:left="0" w:right="0"/>
        <w:jc w:val="left"/>
      </w:pPr>
      <w:r>
        <w:rPr>
          <w:rFonts w:ascii="Arial" w:hAnsi="Arial" w:eastAsia="Arial" w:cs="Arial"/>
          <w:color w:val="000000"/>
          <w:sz w:val="20"/>
          <w:szCs w:val="20"/>
        </w:rPr>
        <w:t xml:space="preserve">per WebERV</w:t>
      </w:r>
    </w:p>
    <w:p>
      <w:pPr>
        <w:widowControl w:val="on"/>
        <w:pBdr/>
        <w:spacing w:before="140" w:after="240" w:line="288" w:lineRule="auto"/>
        <w:ind w:left="0" w:right="0"/>
        <w:jc w:val="left"/>
      </w:pPr>
      <w:r>
        <w:rPr>
          <w:rFonts w:ascii="Arial" w:hAnsi="Arial" w:eastAsia="Arial" w:cs="Arial"/>
          <w:color w:val="000000"/>
          <w:sz w:val="20"/>
          <w:szCs w:val="20"/>
        </w:rPr>
        <w:t xml:space="preserve">An das</w:t>
      </w:r>
      <w:r>
        <w:rPr>
          <w:rFonts w:ascii="Arial" w:hAnsi="Arial" w:eastAsia="Arial" w:cs="Arial"/>
          <w:color w:val="000000"/>
          <w:sz w:val="20"/>
          <w:szCs w:val="20"/>
        </w:rPr>
        <w:br/>
        <w:t xml:space="preserve">Landesgericht für Zivilrechtssachen Wien</w:t>
      </w:r>
      <w:r>
        <w:rPr>
          <w:rFonts w:ascii="Arial" w:hAnsi="Arial" w:eastAsia="Arial" w:cs="Arial"/>
          <w:color w:val="000000"/>
          <w:sz w:val="20"/>
          <w:szCs w:val="20"/>
        </w:rPr>
        <w:br/>
        <w:t xml:space="preserve">Schmerlingplatz 11</w:t>
      </w:r>
      <w:r>
        <w:rPr>
          <w:rFonts w:ascii="Arial" w:hAnsi="Arial" w:eastAsia="Arial" w:cs="Arial"/>
          <w:color w:val="000000"/>
          <w:sz w:val="20"/>
          <w:szCs w:val="20"/>
        </w:rPr>
        <w:br/>
        <w:t xml:space="preserve">1016 Wien</w:t>
      </w:r>
    </w:p>
    <w:p>
      <w:pPr>
        <w:widowControl w:val="on"/>
        <w:pBdr/>
        <w:spacing w:before="140" w:after="240" w:line="288" w:lineRule="auto"/>
        <w:ind w:left="0" w:right="0"/>
        <w:jc w:val="right"/>
      </w:pPr>
      <w:r>
        <w:rPr>
          <w:rFonts w:ascii="Arial" w:hAnsi="Arial" w:eastAsia="Arial" w:cs="Arial"/>
          <w:color w:val="000000"/>
          <w:sz w:val="20"/>
          <w:szCs w:val="20"/>
        </w:rPr>
        <w:t xml:space="preserve">Wien, am 21.05.2018</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Klägerin: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Zita Zukurzgekommen, Angestellte</w:t>
            </w:r>
            <w:r>
              <w:rPr>
                <w:rFonts w:ascii="Arial" w:hAnsi="Arial" w:eastAsia="Arial" w:cs="Arial"/>
                <w:color w:val="000000"/>
                <w:position w:val="0"/>
                <w:sz w:val="20"/>
                <w:szCs w:val="20"/>
                <w:shd w:val="clear" w:color="auto" w:fill="FFFFFF"/>
              </w:rPr>
              <w:br/>
              <w:t xml:space="preserve">Alte Gasse 27</w:t>
            </w:r>
            <w:r>
              <w:rPr>
                <w:rFonts w:ascii="Arial" w:hAnsi="Arial" w:eastAsia="Arial" w:cs="Arial"/>
                <w:color w:val="000000"/>
                <w:position w:val="0"/>
                <w:sz w:val="20"/>
                <w:szCs w:val="20"/>
                <w:shd w:val="clear" w:color="auto" w:fill="FFFFFF"/>
              </w:rPr>
              <w:br/>
              <w:t xml:space="preserve">1010 Wien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Dr. Wolfgang Schöberl</w:t>
            </w:r>
            <w:r>
              <w:rPr>
                <w:rFonts w:ascii="Arial" w:hAnsi="Arial" w:eastAsia="Arial" w:cs="Arial"/>
                <w:color w:val="000000"/>
                <w:position w:val="0"/>
                <w:sz w:val="20"/>
                <w:szCs w:val="20"/>
                <w:shd w:val="clear" w:color="auto" w:fill="FFFFFF"/>
              </w:rPr>
              <w:br/>
              <w:t xml:space="preserve">Universitätsstraße 11</w:t>
            </w:r>
            <w:r>
              <w:rPr>
                <w:rFonts w:ascii="Arial" w:hAnsi="Arial" w:eastAsia="Arial" w:cs="Arial"/>
                <w:color w:val="000000"/>
                <w:position w:val="0"/>
                <w:sz w:val="20"/>
                <w:szCs w:val="20"/>
                <w:shd w:val="clear" w:color="auto" w:fill="FFFFFF"/>
              </w:rPr>
              <w:br/>
              <w:t xml:space="preserve">1010 Wien</w:t>
            </w:r>
            <w:r>
              <w:rPr>
                <w:rFonts w:ascii="Arial" w:hAnsi="Arial" w:eastAsia="Arial" w:cs="Arial"/>
                <w:color w:val="000000"/>
                <w:position w:val="0"/>
                <w:sz w:val="20"/>
                <w:szCs w:val="20"/>
                <w:shd w:val="clear" w:color="auto" w:fill="FFFFFF"/>
              </w:rPr>
              <w:br/>
              <w:t xml:space="preserve">AVR Code: R…</w:t>
            </w:r>
            <w:r>
              <w:rPr>
                <w:rFonts w:ascii="Arial" w:hAnsi="Arial" w:eastAsia="Arial" w:cs="Arial"/>
                <w:color w:val="000000"/>
                <w:position w:val="0"/>
                <w:sz w:val="20"/>
                <w:szCs w:val="20"/>
                <w:shd w:val="clear" w:color="auto" w:fill="FFFFFF"/>
              </w:rPr>
              <w:br/>
              <w:t xml:space="preserve">unter Berufung auf die erteilte Vollmacht gem § 30 Abs 2
ZPO</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Beklagte:</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Lena Lieblingstochter, Hausfrau</w:t>
            </w:r>
            <w:r>
              <w:rPr>
                <w:rFonts w:ascii="Arial" w:hAnsi="Arial" w:eastAsia="Arial" w:cs="Arial"/>
                <w:color w:val="000000"/>
                <w:position w:val="0"/>
                <w:sz w:val="20"/>
                <w:szCs w:val="20"/>
                <w:shd w:val="clear" w:color="auto" w:fill="FFFFFF"/>
              </w:rPr>
              <w:br/>
              <w:t xml:space="preserve">Breite Gasse 7</w:t>
            </w:r>
            <w:r>
              <w:rPr>
                <w:rFonts w:ascii="Arial" w:hAnsi="Arial" w:eastAsia="Arial" w:cs="Arial"/>
                <w:color w:val="000000"/>
                <w:position w:val="0"/>
                <w:sz w:val="20"/>
                <w:szCs w:val="20"/>
                <w:shd w:val="clear" w:color="auto" w:fill="FFFFFF"/>
              </w:rPr>
              <w:br/>
              <w:t xml:space="preserve">1210 Wien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Wegen: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Leistung von EUR 50.000,– sA (JN/GGG/RAO)</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Klage</w:t>
      </w:r>
    </w:p>
    <w:p>
      <w:pPr>
        <w:widowControl w:val="on"/>
        <w:pBdr/>
        <w:spacing w:before="140" w:after="240" w:line="288" w:lineRule="auto"/>
        <w:ind w:left="0" w:right="0"/>
        <w:jc w:val="right"/>
      </w:pPr>
      <w:r>
        <w:rPr>
          <w:rFonts w:ascii="Arial" w:hAnsi="Arial" w:eastAsia="Arial" w:cs="Arial"/>
          <w:color w:val="000000"/>
          <w:sz w:val="20"/>
          <w:szCs w:val="20"/>
        </w:rPr>
        <w:t xml:space="preserve">2-fach</w:t>
      </w:r>
    </w:p>
    <w:p>
      <w:pPr>
        <w:widowControl w:val="on"/>
        <w:pBdr/>
        <w:spacing w:before="140" w:after="240" w:line="288" w:lineRule="auto"/>
        <w:ind w:left="0" w:right="0"/>
        <w:jc w:val="left"/>
      </w:pPr>
      <w:r>
        <w:rPr>
          <w:rFonts w:ascii="Arial" w:hAnsi="Arial" w:eastAsia="Arial" w:cs="Arial"/>
          <w:color w:val="000000"/>
          <w:sz w:val="20"/>
          <w:szCs w:val="20"/>
        </w:rPr>
        <w:t xml:space="preserve">In umseits rubrizierter Rechtssache habe ich den Rechtsanwalt
Dr. Wolfgang Schöberl, der sich gem § 30 Abs 2 ZPO auf
die erteilte Vollmacht beruft, mit meiner Vertretung beauftragt.
Durch meinen ausgewiesenen Vertreter erhebe ich die
nachstehende</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Klage</w:t>
      </w:r>
    </w:p>
    <w:p>
      <w:pPr>
        <w:widowControl w:val="on"/>
        <w:pBdr/>
        <w:spacing w:before="140" w:after="240" w:line="288" w:lineRule="auto"/>
        <w:ind w:left="0" w:right="0"/>
        <w:jc w:val="left"/>
      </w:pPr>
      <w:r>
        <w:rPr>
          <w:rFonts w:ascii="Arial" w:hAnsi="Arial" w:eastAsia="Arial" w:cs="Arial"/>
          <w:color w:val="000000"/>
          <w:sz w:val="20"/>
          <w:szCs w:val="20"/>
        </w:rPr>
        <w:t xml:space="preserve">wie folgt:</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Zuständigkeit</w:t>
      </w:r>
    </w:p>
    <w:p>
      <w:pPr>
        <w:widowControl w:val="on"/>
        <w:pBdr/>
        <w:spacing w:before="140" w:after="240" w:line="288" w:lineRule="auto"/>
        <w:ind w:left="0" w:right="0"/>
        <w:jc w:val="left"/>
      </w:pPr>
      <w:r>
        <w:rPr>
          <w:rFonts w:ascii="Arial" w:hAnsi="Arial" w:eastAsia="Arial" w:cs="Arial"/>
          <w:color w:val="000000"/>
          <w:sz w:val="20"/>
          <w:szCs w:val="20"/>
        </w:rPr>
        <w:t xml:space="preserve">Gegenstand der Klage ist die Ergänzung des Pflichtteils wegen
der Hinzurechnung einer Schenkung (§ 789 ABGB). Die Klage ist
gem § 49 JN nicht dem Bezirksgericht zugewiesen, da der
Streitwert die maßgebliche Wertgrenze übersteigt. Gem § 50 JN
liegt daher die Zuständigkeit des Gerichtshofs erster Instanz vor.
Mangels besonderen Gerichtsstands ist gem § 65 JN die örtliche
Zuständigkeit am allgemeinen Gerichtsstand der Beklagten begründet.
Die Beklagte hat ihren Wohnsitz im Sprengel des angerufenen
Gerichtes (§ 66 Abs 1 JN), sodass das angerufene Gericht
sachlich und örtlich zuständig ist.</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Sachverhalt</w:t>
      </w:r>
    </w:p>
    <w:p>
      <w:pPr>
        <w:widowControl w:val="on"/>
        <w:pBdr/>
        <w:spacing w:before="140" w:after="240" w:line="288" w:lineRule="auto"/>
        <w:ind w:left="0" w:right="0"/>
        <w:jc w:val="left"/>
      </w:pPr>
      <w:r>
        <w:rPr>
          <w:rFonts w:ascii="Arial" w:hAnsi="Arial" w:eastAsia="Arial" w:cs="Arial"/>
          <w:color w:val="000000"/>
          <w:sz w:val="20"/>
          <w:szCs w:val="20"/>
        </w:rPr>
        <w:t xml:space="preserve">Die am 05.12.1955 geborene Beklagte und ich, geboren am
31.01.1952, sind die beiden einzigen Kinder des am 02.01.2017
verstorbenen Erwin Erblasser. Unsere Mutter ist bereits im Jahr
1999 vorverstorben.</w:t>
      </w:r>
    </w:p>
    <w:p>
      <w:pPr>
        <w:widowControl w:val="on"/>
        <w:pBdr/>
        <w:spacing w:before="140" w:after="240" w:line="288" w:lineRule="auto"/>
        <w:ind w:left="0" w:right="0"/>
        <w:jc w:val="left"/>
      </w:pPr>
      <w:r>
        <w:rPr>
          <w:rFonts w:ascii="Arial" w:hAnsi="Arial" w:eastAsia="Arial" w:cs="Arial"/>
          <w:color w:val="000000"/>
          <w:sz w:val="20"/>
          <w:szCs w:val="20"/>
        </w:rPr>
        <w:t xml:space="preserve">Das Verlassenschaftsverfahren nach unserem Vater war zur GZ: 3 A
2/17z beim Bezirksgericht Gänserndorf anhängig. Die
Todesfallaufnahme hat jedoch ergeben, dass die Verlassenschaft
keinerlei Aktiva enthält, und sohin vollkommen vermögenslos ist.
Daher unterblieb gemäß Verständigung des Bezirksgerichtes
Gänserndorf vom 03.05.2017 die Abhandlung gem § 153 Abs 1
AußStrG wegen Vermögenslosigkeit.</w:t>
      </w:r>
    </w:p>
    <w:p>
      <w:pPr>
        <w:widowControl w:val="on"/>
        <w:pBdr/>
        <w:spacing w:before="140" w:after="240" w:line="288" w:lineRule="auto"/>
        <w:ind w:left="0" w:right="0"/>
        <w:jc w:val="left"/>
      </w:pPr>
      <w:r>
        <w:rPr>
          <w:rFonts w:ascii="Arial" w:hAnsi="Arial" w:eastAsia="Arial" w:cs="Arial"/>
          <w:color w:val="000000"/>
          <w:sz w:val="20"/>
          <w:szCs w:val="20"/>
        </w:rPr>
        <w:t xml:space="preserve">Mein Vater hat jedoch der Beklagten mit Schenkungsvertrag vom
07.06.2005 die ihm zur Gänze gehörende Liegenschaft EZ 12345 KG
Gänserndorf mitsamt dem darauf errichteten Einfamilienhaus
geschenkt. Die Beklagte ist daher grundbücherliche
Alleineigentümerin dieser Liegenschaft. Die Liegenschaft hat zum
Zeitpunkt der Schenkung einen Verkehrswert von mindestens
EUR 180.000,–. Valorisiert auf den Todestag unter Heranziehung
des Verbraucherpreisindex 2000 ergibt sich ein Wert von mindestens
EUR 200.000,–.</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PV der Klägerin</w:t>
            </w:r>
            <w:r>
              <w:rPr>
                <w:rFonts w:ascii="Arial" w:hAnsi="Arial" w:eastAsia="Arial" w:cs="Arial"/>
                <w:color w:val="000000"/>
                <w:position w:val="0"/>
                <w:sz w:val="20"/>
                <w:szCs w:val="20"/>
                <w:shd w:val="clear" w:color="auto" w:fill="FFFFFF"/>
              </w:rPr>
              <w:br/>
              <w:t xml:space="preserve">vorzulegende Urkunden:</w:t>
            </w:r>
            <w:r>
              <w:rPr>
                <w:rFonts w:ascii="Arial" w:hAnsi="Arial" w:eastAsia="Arial" w:cs="Arial"/>
                <w:color w:val="000000"/>
                <w:position w:val="0"/>
                <w:sz w:val="20"/>
                <w:szCs w:val="20"/>
                <w:shd w:val="clear" w:color="auto" w:fill="FFFFFF"/>
              </w:rPr>
              <w:br/>
              <w:t xml:space="preserve">Protokoll der Todesfallaufnahme</w:t>
            </w:r>
            <w:r>
              <w:rPr>
                <w:rFonts w:ascii="Arial" w:hAnsi="Arial" w:eastAsia="Arial" w:cs="Arial"/>
                <w:color w:val="000000"/>
                <w:position w:val="0"/>
                <w:sz w:val="20"/>
                <w:szCs w:val="20"/>
                <w:shd w:val="clear" w:color="auto" w:fill="FFFFFF"/>
              </w:rPr>
              <w:br/>
              <w:t xml:space="preserve">Verständigung des BG Gänserndorf vom 03.05.2017</w:t>
            </w:r>
            <w:r>
              <w:rPr>
                <w:rFonts w:ascii="Arial" w:hAnsi="Arial" w:eastAsia="Arial" w:cs="Arial"/>
                <w:color w:val="000000"/>
                <w:position w:val="0"/>
                <w:sz w:val="20"/>
                <w:szCs w:val="20"/>
                <w:shd w:val="clear" w:color="auto" w:fill="FFFFFF"/>
              </w:rPr>
              <w:br/>
              <w:t xml:space="preserve">Schenkungsvertrag vom 07.06.2005</w:t>
            </w:r>
            <w:r>
              <w:rPr>
                <w:rFonts w:ascii="Arial" w:hAnsi="Arial" w:eastAsia="Arial" w:cs="Arial"/>
                <w:color w:val="000000"/>
                <w:position w:val="0"/>
                <w:sz w:val="20"/>
                <w:szCs w:val="20"/>
                <w:shd w:val="clear" w:color="auto" w:fill="FFFFFF"/>
              </w:rPr>
              <w:br/>
              <w:t xml:space="preserve">Grundbuchsauszug der Liegenschaft EZ 12345 KG Gänserndorf</w:t>
            </w:r>
            <w:r>
              <w:rPr>
                <w:rFonts w:ascii="Arial" w:hAnsi="Arial" w:eastAsia="Arial" w:cs="Arial"/>
                <w:color w:val="000000"/>
                <w:position w:val="0"/>
                <w:sz w:val="20"/>
                <w:szCs w:val="20"/>
                <w:shd w:val="clear" w:color="auto" w:fill="FFFFFF"/>
              </w:rPr>
              <w:br/>
              <w:t xml:space="preserve">einzuholendes Sachverständigengutachten aus dem Gebiet der
Immobilienbewertung</w:t>
            </w:r>
            <w:r>
              <w:rPr>
                <w:rFonts w:ascii="Arial" w:hAnsi="Arial" w:eastAsia="Arial" w:cs="Arial"/>
                <w:color w:val="000000"/>
                <w:position w:val="0"/>
                <w:sz w:val="20"/>
                <w:szCs w:val="20"/>
                <w:shd w:val="clear" w:color="auto" w:fill="FFFFFF"/>
              </w:rPr>
              <w:br/>
              <w:t xml:space="preserve">vorzulegende Berechnung der Indexanpassung gemäß VPI 2000</w:t>
            </w:r>
          </w:p>
        </w:tc>
      </w:tr>
    </w:tbl>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Rechtliche Würdigung</w:t>
      </w:r>
    </w:p>
    <w:p>
      <w:pPr>
        <w:widowControl w:val="on"/>
        <w:pBdr/>
        <w:spacing w:before="140" w:after="240" w:line="288" w:lineRule="auto"/>
        <w:ind w:left="0" w:right="0"/>
        <w:jc w:val="left"/>
      </w:pPr>
      <w:r>
        <w:rPr>
          <w:rFonts w:ascii="Arial" w:hAnsi="Arial" w:eastAsia="Arial" w:cs="Arial"/>
          <w:color w:val="000000"/>
          <w:sz w:val="20"/>
          <w:szCs w:val="20"/>
        </w:rPr>
        <w:t xml:space="preserve">Ich bin als Tochter des Erblassers pflichtteilsberechtigt. Gem
§ 783 ABGB bin ich weiters berechtigt, die Hinzurechnung des
Wertes der Liegenschaft EZ 12345 KG Gänserndorf in die
Verlassenschaft zu fordern. Diese Schenkung ist an die Beklagte
erfolgt, die ebenfalls pflichtteilsberechtigt ist, sodass die
Schenkung zeitlich unbeschränkt anrechenbar ist. Mein
Pflichtteilsanspruch ist daher vom fiktiven Wert der
Verlassenschaft zu berechnen, den diese hätte, wenn die Schenkung
nicht erfolgt wäre. Da die Verlassenschaft aber vermögenslos ist,
und sohin aus deren Mitteln keine Deckung meines Pflichtteils
erfolgen kann, steht mir gem § 789 ABGB ein direkter Anspruch
gegen die Beklagte zu.</w:t>
      </w:r>
    </w:p>
    <w:p>
      <w:pPr>
        <w:widowControl w:val="on"/>
        <w:pBdr/>
        <w:spacing w:before="140" w:after="240" w:line="288" w:lineRule="auto"/>
        <w:ind w:left="0" w:right="0"/>
        <w:jc w:val="left"/>
      </w:pPr>
      <w:r>
        <w:rPr>
          <w:rFonts w:ascii="Arial" w:hAnsi="Arial" w:eastAsia="Arial" w:cs="Arial"/>
          <w:color w:val="000000"/>
          <w:sz w:val="20"/>
          <w:szCs w:val="20"/>
        </w:rPr>
        <w:t xml:space="preserve">Die Höhe meines Pflichtteils beträgt die Hälfte meines
gesetzlichen Erbteils. Da mein verwitweter Vater zwei Nachkommen –
nämlich mich und die Beklagte – hinterließ, beläuft sich mein
gesetzlicher Erbteil auf die Hälfte und mein Pflichtteilsanspruch
daher auf ein Viertel. Mir steht aus dem Titel der
Pflichtteilsergänzung sohin ein Viertel des Wertes der der
Beklagten geschenkten Liegenschaft zu, also der Betrag von
EUR 50.000,–.</w:t>
      </w:r>
    </w:p>
    <w:p>
      <w:pPr>
        <w:widowControl w:val="on"/>
        <w:pBdr/>
        <w:spacing w:before="140" w:after="240" w:line="288" w:lineRule="auto"/>
        <w:ind w:left="0" w:right="0"/>
        <w:jc w:val="left"/>
      </w:pPr>
      <w:r>
        <w:rPr>
          <w:rFonts w:ascii="Arial" w:hAnsi="Arial" w:eastAsia="Arial" w:cs="Arial"/>
          <w:color w:val="000000"/>
          <w:sz w:val="20"/>
          <w:szCs w:val="20"/>
        </w:rPr>
        <w:t xml:space="preserve">Zur Bewertung ist noch festzuhalten, dass die geschenkte Sache
gem § 788 ABGB auf den Zeitpunkt der Schenkung zu bewerten
ist; dieser ist sodann unter Heranziehung eines von der Statistik
Austria veröffentlichten Verbraucherpreisindex auf den
Todeszeitpunkt anzupassen.</w:t>
      </w:r>
    </w:p>
    <w:p>
      <w:pPr>
        <w:widowControl w:val="on"/>
        <w:pBdr/>
        <w:spacing w:before="140" w:after="240" w:line="288" w:lineRule="auto"/>
        <w:ind w:left="0" w:right="0"/>
        <w:jc w:val="left"/>
      </w:pPr>
      <w:r>
        <w:rPr>
          <w:rFonts w:ascii="Arial" w:hAnsi="Arial" w:eastAsia="Arial" w:cs="Arial"/>
          <w:color w:val="000000"/>
          <w:sz w:val="20"/>
          <w:szCs w:val="20"/>
        </w:rPr>
        <w:t xml:space="preserve">Gem §§ 789 iVm 765 ABGB entsteht der Pflichtteilsanspruch
einschließlich des Ergänzungspflichtteils mit dem Tod des
Erblassers, kann jedoch, soweit es sich um den Geldpflichtteil
handelt, erst ein Jahr ab dem Tod des Erblassers gefordert werden.
Dabei handelt es sich jedoch um eine „reine Stundung“, sodass die
Verzugszinsen ab dem Todestag des Erblassers, sohin ab dem
02.01.2017, begehrt werden.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Klagebegehren</w:t>
      </w:r>
    </w:p>
    <w:p>
      <w:pPr>
        <w:widowControl w:val="on"/>
        <w:pBdr/>
        <w:spacing w:before="140" w:after="240" w:line="288" w:lineRule="auto"/>
        <w:ind w:left="0" w:right="0"/>
        <w:jc w:val="left"/>
      </w:pPr>
      <w:r>
        <w:rPr>
          <w:rFonts w:ascii="Arial" w:hAnsi="Arial" w:eastAsia="Arial" w:cs="Arial"/>
          <w:color w:val="000000"/>
          <w:sz w:val="20"/>
          <w:szCs w:val="20"/>
        </w:rPr>
        <w:t xml:space="preserve">Auf Grundlage der obigen Ausführungen wird beantragt zu erlassen
das nachstehende</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Urteil:</w:t>
      </w:r>
    </w:p>
    <w:p>
      <w:pPr>
        <w:widowControl w:val="on"/>
        <w:pBdr/>
        <w:spacing w:before="140" w:after="240" w:line="288" w:lineRule="auto"/>
        <w:ind w:left="0" w:right="0"/>
        <w:jc w:val="left"/>
      </w:pPr>
      <w:r>
        <w:rPr>
          <w:rFonts w:ascii="Arial" w:hAnsi="Arial" w:eastAsia="Arial" w:cs="Arial"/>
          <w:color w:val="000000"/>
          <w:sz w:val="20"/>
          <w:szCs w:val="20"/>
        </w:rPr>
        <w:t xml:space="preserve">Die Beklagte ist schuldig, der Klägerin zu Handen des
Klagsvertreters den Betrag von EUR 50.000,– zuzüglich 4 %
Zinsen seit dem 02.01.2017 zu bezahlen und die Kosten dieses
Rechtsstreits unter Anwendung des § 19a RAO zu ersetzen; all
dies binnen 14 Tagen bei sonstiger Exekution in die der Beklagten
grundbücherlich zugeschriebene Liegenschaft EZ 12345 KG
Gänserndorf.</w:t>
      </w:r>
    </w:p>
    <w:p>
      <w:r>
        <w:pict>
          <v:rect id="_x0000_i1026" style="width:0;height:1.5pt" o:hralign="center" o:hrstd="t" o:hr="t" o:hrnoshade="t" fillcolor="#a0a0a0" stroked="f"/>
        </w:pic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p>
      <w:pPr>
        <w:widowControl w:val="on"/>
        <w:pBdr/>
        <w:spacing w:before="140" w:after="240" w:line="288" w:lineRule="auto"/>
        <w:ind w:left="0" w:right="0"/>
        <w:jc w:val="left"/>
      </w:pPr>
      <w:r>
        <w:rPr>
          <w:rFonts w:ascii="Arial" w:hAnsi="Arial" w:eastAsia="Arial" w:cs="Arial"/>
          <w:b/>
          <w:bCs/>
          <w:color w:val="000000"/>
          <w:sz w:val="20"/>
          <w:szCs w:val="20"/>
        </w:rPr>
        <w:t xml:space="preserve">1</w:t>
      </w:r>
      <w:r>
        <w:rPr>
          <w:rFonts w:ascii="Arial" w:hAnsi="Arial" w:eastAsia="Arial" w:cs="Arial"/>
          <w:color w:val="000000"/>
          <w:sz w:val="20"/>
          <w:szCs w:val="20"/>
        </w:rPr>
        <w:br/>
        <w:t xml:space="preserve">Bei der Klage auf Pflichtteilsergänzung wegen der Hinzurechnung von
Schenkungen gem § 789 ABGB handelt es sich um eine Klage auf
Zahlung mit der Besonderheit, dass Exekution nicht in das gesamte
Vermögen des Beklagten geführt werden kann, sondern nur in die
geschenkte Sache. Das Klagebegehren hat daher auf Zahlung bei
sonstiger Exekutionsführung in den Schenkungsgegenstand, der
entsprechend genau zu bezeichnen ist, zu lauten. Im Musterbeispiel
ist dies relativ einfach, weil es sich um eine Liegenschaft
handelt, sodass auch die Art der Exekution keine besonderen
Probleme bereitet – es steht die Realexekution zur Verfügung. Bei
anderen Vermögensgegenständen bzw Vermögenswerten ist dies oft
schwieriger. In der Praxis kommen derartige Klagen aber bei weitem
am häufigsten mit Bezug auf Liegenschaften vor (zumal
Liegenschaftsschenkungen im Grundbuch sehr leicht nachzuvollziehen
sind, während man bei der Schenkung von anderen Vermögenswerten,
insbesondere, wenn schon eine längere Zeit verstrichen ist, oft vor
Beweisproblemen steht).</w:t>
      </w:r>
    </w:p>
    <w:p>
      <w:pPr>
        <w:widowControl w:val="on"/>
        <w:pBdr/>
        <w:spacing w:before="140" w:after="240" w:line="288" w:lineRule="auto"/>
        <w:ind w:left="0" w:right="0"/>
        <w:jc w:val="left"/>
      </w:pPr>
      <w:r>
        <w:rPr>
          <w:rFonts w:ascii="Arial" w:hAnsi="Arial" w:eastAsia="Arial" w:cs="Arial"/>
          <w:b/>
          <w:bCs/>
          <w:color w:val="000000"/>
          <w:sz w:val="20"/>
          <w:szCs w:val="20"/>
        </w:rPr>
        <w:t xml:space="preserve">2</w:t>
      </w:r>
      <w:r>
        <w:rPr>
          <w:rFonts w:ascii="Arial" w:hAnsi="Arial" w:eastAsia="Arial" w:cs="Arial"/>
          <w:color w:val="000000"/>
          <w:sz w:val="20"/>
          <w:szCs w:val="20"/>
        </w:rPr>
        <w:br/>
        <w:t xml:space="preserve">Materiellrechtlich sind die Voraussetzungen der Klage auf
Pflichtteilsergänzung, die im Klagsvorbringen enthalten sein
müssen, wie folgt zusammenzufassen: Der Kläger ist (a)
pflichtteilsberechtigt, begehrt (b) die Hinzurechnung einer zu
Lebzeiten erfolgten Schenkung des Erblassers zur Verlassenschaft,
wobei aber (c) in der Verlassenschaft keine bzw nicht ausreichende
Werte enthalten sind, um den auf die Schenkung bezogenen
Pflichtteilsanspruch abzudecken, sodass der Kläger (d) einen
Anspruch direkt gegen den Beschenkten auf Deckung des Fehlbetrages
= Pflichtteilsergänzung hat. Dem Musterbeispiel liegt der sehr
einfache Sachverhalt zu Grunde, dass die Verlassenschaft zur Gänze
vermögenslos ist, sodass der gesamte Pflichtteilsanspruch
ausschließlich aus der Hinzurechnung der Schenkung resultiert, und
gegen den Beschenkten geltend zu machen ist. Es ist aber natürlich
auch möglich, dass aus der Verlassenschaft zumindest ein Teil des
Pflichtteilsergänzungsanspruches abgedeckt werden kann, und der
Beschenkte daher nur die Differenz zu bezahlen hat. Ist der
Beschenkte selbst pflichtteilsberechtigt, wie es im Muster der Fall
ist, sind Schenkungen zeitlich unbeschränkt hinzurechenbar;
ansonsten kann nur die Hinzurechnung von Schenkungen begehrt
werden, die nicht früher als zwei Jahre vor dem Tod des Erblassers
erfolgt sind (§§ 782, 783 ABGB).</w:t>
      </w:r>
    </w:p>
    <w:p>
      <w:pPr>
        <w:widowControl w:val="on"/>
        <w:pBdr/>
        <w:spacing w:before="140" w:after="240" w:line="288" w:lineRule="auto"/>
        <w:ind w:left="0" w:right="0"/>
        <w:jc w:val="left"/>
      </w:pPr>
      <w:r>
        <w:rPr>
          <w:rFonts w:ascii="Arial" w:hAnsi="Arial" w:eastAsia="Arial" w:cs="Arial"/>
          <w:b/>
          <w:bCs/>
          <w:color w:val="000000"/>
          <w:sz w:val="20"/>
          <w:szCs w:val="20"/>
        </w:rPr>
        <w:t xml:space="preserve">3</w:t>
      </w:r>
      <w:r>
        <w:rPr>
          <w:rFonts w:ascii="Arial" w:hAnsi="Arial" w:eastAsia="Arial" w:cs="Arial"/>
          <w:color w:val="000000"/>
          <w:sz w:val="20"/>
          <w:szCs w:val="20"/>
        </w:rPr>
        <w:br/>
        <w:t xml:space="preserve">Hinsichtlich der örtlichen Zuständigkeit gibt es keine besonderen
Bestimmungen; insbesondere liegt weder eine Zuständigkeit am Sitz
des Verlassenschaftsgerichtes noch eine Zuständigkeit am Ort der
gelegenen Sache vor. Es gibt auch keine diesbezüglichen
Wahlgerichtsstände. Die Klage hat daher am allgemeinen
Gerichtsstand des Beklagten zu erfolgen. Da es sich um eine bloße
Zahlungsklage handelt, ist trotz des im Musterbeispiel bestehenden
Zusammenhang mit einer Liegenschaft eine Klagsanmerkung im
Grundbuch nicht möglich.</w:t>
      </w:r>
    </w:p>
    <w:p>
      <w:pPr>
        <w:widowControl w:val="on"/>
        <w:pBdr/>
        <w:spacing w:before="140" w:after="240" w:line="288" w:lineRule="auto"/>
        <w:ind w:left="0" w:right="0"/>
        <w:jc w:val="left"/>
      </w:pPr>
      <w:r>
        <w:rPr>
          <w:rFonts w:ascii="Arial" w:hAnsi="Arial" w:eastAsia="Arial" w:cs="Arial"/>
          <w:b/>
          <w:bCs/>
          <w:color w:val="000000"/>
          <w:sz w:val="20"/>
          <w:szCs w:val="20"/>
        </w:rPr>
        <w:t xml:space="preserve">4</w:t>
      </w:r>
      <w:r>
        <w:rPr>
          <w:rFonts w:ascii="Arial" w:hAnsi="Arial" w:eastAsia="Arial" w:cs="Arial"/>
          <w:color w:val="000000"/>
          <w:sz w:val="20"/>
          <w:szCs w:val="20"/>
        </w:rPr>
        <w:br/>
        <w:t xml:space="preserve">Nach dem ErbRÄG 2015 ist die geschenkte Sache auf den Zeitpunkt zu
bewerten, in dem die Schenkung wirklich gemacht wurde; dieser Wert
ist sodann nach einem von der Statistik Austria verlautbarten
Verbraucherpreisindex auf den Todeszeitpunkt anzupassen (§ 788
ABGB). Nach der alten Rechtslage, die jedoch noch heranzuziehen
ist, wenn der Erblasser vor dem 31.12.2016 verstarb, ist hingegen
der Wert zum Zeitpunkt des Todes des Erblassers zu Grunde zu legen;
die Bewertung erfolgt aber anhand des Zustandes zum Zeitpunkt der
Schenkung (vgl zur alten Rechtslage ausführlich </w:t>
      </w:r>
      <w:r>
        <w:rPr>
          <w:rFonts w:ascii="Arial" w:hAnsi="Arial" w:eastAsia="Arial" w:cs="Arial"/>
          <w:i/>
          <w:iCs/>
          <w:color w:val="000000"/>
          <w:sz w:val="20"/>
          <w:szCs w:val="20"/>
        </w:rPr>
        <w:t xml:space="preserve">Binder</w:t>
      </w:r>
      <w:r>
        <w:rPr>
          <w:rFonts w:ascii="Arial" w:hAnsi="Arial" w:eastAsia="Arial" w:cs="Arial"/>
          <w:color w:val="000000"/>
          <w:sz w:val="20"/>
          <w:szCs w:val="20"/>
        </w:rPr>
        <w:t xml:space="preserve"> in
</w:t>
      </w:r>
      <w:r>
        <w:rPr>
          <w:rFonts w:ascii="Arial" w:hAnsi="Arial" w:eastAsia="Arial" w:cs="Arial"/>
          <w:i/>
          <w:iCs/>
          <w:color w:val="000000"/>
          <w:sz w:val="20"/>
          <w:szCs w:val="20"/>
        </w:rPr>
        <w:t xml:space="preserve">Schwimann</w:t>
      </w:r>
      <w:r>
        <w:rPr>
          <w:rFonts w:ascii="Arial" w:hAnsi="Arial" w:eastAsia="Arial" w:cs="Arial"/>
          <w:color w:val="000000"/>
          <w:sz w:val="20"/>
          <w:szCs w:val="20"/>
        </w:rPr>
        <w:t xml:space="preserve">, ABGB</w:t>
      </w:r>
      <w:r>
        <w:rPr>
          <w:rFonts w:ascii="Arial" w:hAnsi="Arial" w:eastAsia="Arial" w:cs="Arial"/>
          <w:color w:val="000000"/>
          <w:position w:val="3"/>
          <w:sz w:val="18"/>
          <w:szCs w:val="18"/>
          <w:vertAlign w:val="superscript"/>
        </w:rPr>
        <w:t xml:space="preserve">3</w:t>
      </w:r>
      <w:r>
        <w:rPr>
          <w:rFonts w:ascii="Arial" w:hAnsi="Arial" w:eastAsia="Arial" w:cs="Arial"/>
          <w:color w:val="000000"/>
          <w:sz w:val="20"/>
          <w:szCs w:val="20"/>
        </w:rPr>
        <w:t xml:space="preserve"> IV, §§ 951, 952
Rz 17 mwN). Handelt es sich um eine geschenkte Liegenschaft,
ist im Prozess jedenfalls die Bewertung durch einen
Sachverständigen aus dem Gebiet der Immobilienbewertung
erforderlich. Es ist aber anzuraten, bereits vor Klagseinbringung
entsprechend fundierte Erhebungen anzustellen, um zu einem halbwegs
realistischen Klagsbetrag zu kommen, und nicht die Kostenfolgen für
den Fall der Überklagung zu riskieren. Im Zweifel ist es oft
besser, einen niedrigeren Betrag einzuklagen, und sich eine
Klagsausdehnung entsprechend dem Ergebnis des
Sachverständigengutachtens vorzubehalten. Zur Berechnung der
Valorisierung auf den Todeszeitpunkt kann die Website der Statistik
Austria </w:t>
      </w:r>
      <w:hyperlink r:id="rId17276ac2a2d700387" w:history="1">
        <w:r>
          <w:rPr>
            <w:rFonts w:ascii="Arial" w:hAnsi="Arial" w:eastAsia="Arial" w:cs="Arial"/>
            <w:color w:val="006BB6"/>
            <w:sz w:val="20"/>
            <w:szCs w:val="20"/>
          </w:rPr>
          <w:t xml:space="preserve">www.statistik.at</w:t>
        </w:r>
      </w:hyperlink>
      <w:r>
        <w:rPr>
          <w:rFonts w:ascii="Arial" w:hAnsi="Arial" w:eastAsia="Arial" w:cs="Arial"/>
          <w:color w:val="000000"/>
          <w:sz w:val="20"/>
          <w:szCs w:val="20"/>
        </w:rPr>
        <w:t xml:space="preserve"> herangezogen werden, die einen
Wertsicherungsrechner für verschiedene Indizes vorhält.</w:t>
      </w:r>
    </w:p>
    <w:p>
      <w:pPr>
        <w:widowControl w:val="on"/>
        <w:pBdr/>
        <w:spacing w:before="140" w:after="240" w:line="288" w:lineRule="auto"/>
        <w:ind w:left="0" w:right="0"/>
        <w:jc w:val="left"/>
      </w:pPr>
      <w:r>
        <w:rPr>
          <w:rFonts w:ascii="Arial" w:hAnsi="Arial" w:eastAsia="Arial" w:cs="Arial"/>
          <w:b/>
          <w:bCs/>
          <w:color w:val="000000"/>
          <w:sz w:val="20"/>
          <w:szCs w:val="20"/>
        </w:rPr>
        <w:t xml:space="preserve">5</w:t>
      </w:r>
      <w:r>
        <w:rPr>
          <w:rFonts w:ascii="Arial" w:hAnsi="Arial" w:eastAsia="Arial" w:cs="Arial"/>
          <w:color w:val="000000"/>
          <w:sz w:val="20"/>
          <w:szCs w:val="20"/>
        </w:rPr>
        <w:br/>
        <w:t xml:space="preserve">Der Pflichtteilsanspruchs einschließlich des Anspruchs auf den
Ergänzungspflichtteil entsteht gem §§ 789 iVm 765 ABGB mit dem
Tod des Erblassers, kann jedoch, soweit es sich um den
Geldpflichtteil handelt, erst ein Jahr ab dem Tod des Erblassers
gefordert werden. Auf Grund des systematischen Zusammenhangs gilt
dies mE auch für den Ergänzungspflichtteil, der ja auch eine Art
des Geldpflichtteils darstellt. Dabei handelt es sich um eine
„reine Stundung“, sodass die gesetzlichen Verzugszinsen bereits ab
dem Tod des Erblassers zu laufen beginnen. Der Erblasser kann
jedoch – auch hinsichtlich des Ergänzungspflichtteils – die
Stundung auf bis zu fünf Jahre anordnen (§ 766 ABGB).</w:t>
      </w:r>
    </w:p>
    <w:p>
      <w:pPr>
        <w:widowControl w:val="on"/>
        <w:pBdr/>
        <w:spacing w:before="140" w:after="240" w:line="288" w:lineRule="auto"/>
        <w:ind w:left="0" w:right="0"/>
        <w:jc w:val="left"/>
      </w:pPr>
      <w:r>
        <w:rPr>
          <w:rFonts w:ascii="Arial" w:hAnsi="Arial" w:eastAsia="Arial" w:cs="Arial"/>
          <w:b/>
          <w:bCs/>
          <w:color w:val="000000"/>
          <w:sz w:val="20"/>
          <w:szCs w:val="20"/>
        </w:rPr>
        <w:t xml:space="preserve">6</w:t>
      </w:r>
      <w:r>
        <w:rPr>
          <w:rFonts w:ascii="Arial" w:hAnsi="Arial" w:eastAsia="Arial" w:cs="Arial"/>
          <w:color w:val="000000"/>
          <w:sz w:val="20"/>
          <w:szCs w:val="20"/>
        </w:rPr>
        <w:br/>
        <w:t xml:space="preserve">In stilistischer Hinsicht ist abschließend zu erwähnen, dass im
Muster anstatt der dritten Person bewusst die Ich-Form gewählt
wurde, die sich für Klagen im Bereich des Erbrechts, wo emotionale
Komponenten oftmals eine große Rolle spielen, besonders anbietet.
In der Praxis wird man gerade bei derartigen Klagen häufig die
Klagserzählung über das trockene, juristisch notwendige Vorbringen
hinaus etwas ausschmücken, um dem Gericht die emotionale
Betroffenheit der zu kurz gekommenen Klägerin zu vermitteln.</w:t>
      </w:r>
    </w:p>
    <w:p>
      <w:pPr>
        <w:widowControl w:val="on"/>
        <w:pBdr/>
        <w:spacing w:before="140" w:after="240" w:line="288" w:lineRule="auto"/>
        <w:ind w:left="0" w:right="0"/>
        <w:jc w:val="left"/>
      </w:pPr>
      <w:r>
        <w:rPr>
          <w:rFonts w:ascii="Arial" w:hAnsi="Arial" w:eastAsia="Arial" w:cs="Arial"/>
          <w:b/>
          <w:bCs/>
          <w:color w:val="000000"/>
          <w:sz w:val="20"/>
          <w:szCs w:val="20"/>
        </w:rPr>
        <w:t xml:space="preserve">7</w:t>
      </w:r>
      <w:r>
        <w:rPr>
          <w:rFonts w:ascii="Arial" w:hAnsi="Arial" w:eastAsia="Arial" w:cs="Arial"/>
          <w:color w:val="000000"/>
          <w:sz w:val="20"/>
          <w:szCs w:val="20"/>
        </w:rPr>
        <w:br/>
        <w:t xml:space="preserve">Soweit ein Manifestationsbegehren auf die Offenlegung
„pflichtteilsrelevanter“ Vorempfänge und Schenkungen des Erblassers
gerichtet ist, obliegt es den Klägern (nur), ihre subjektive
Besorgnis, von derartigen Zuwendungen keine Kenntnis zu haben, in
der Klage „begründet“ darzulegen. Diesbezüglich können die bei
Anträgen auf Bewilligung der Nachlassseparation iSd § 812 ABGB
ergangenen Grundsätze sinngemäß herangezogen werden (vgl RS0013068)
(RIS-Justiz RS0127349).</w:t>
      </w:r>
    </w:p>
    <w:p>
      <w:pPr>
        <w:widowControl w:val="on"/>
        <w:pBdr/>
        <w:spacing w:before="140" w:after="240" w:line="288" w:lineRule="auto"/>
        <w:ind w:left="0" w:right="0"/>
        <w:jc w:val="left"/>
      </w:pPr>
      <w:r>
        <w:rPr>
          <w:rFonts w:ascii="Arial" w:hAnsi="Arial" w:eastAsia="Arial" w:cs="Arial"/>
          <w:b/>
          <w:bCs/>
          <w:color w:val="000000"/>
          <w:sz w:val="20"/>
          <w:szCs w:val="20"/>
        </w:rPr>
        <w:t xml:space="preserve">8</w:t>
      </w:r>
      <w:r>
        <w:rPr>
          <w:rFonts w:ascii="Arial" w:hAnsi="Arial" w:eastAsia="Arial" w:cs="Arial"/>
          <w:color w:val="000000"/>
          <w:sz w:val="20"/>
          <w:szCs w:val="20"/>
        </w:rPr>
        <w:br/>
        <w:t xml:space="preserve">Es würde einen erheblichen Wertungswiderspruch darstellen, wenn die
Verjährung eines subsidiären Anspruchs des Pflichtteilsgläubigers
gegen den haftenden Geschenknehmer früher beginnen würde, als jene
des Hauptanspruchs. § 765 Abs 2 ABGB weist damit eine
planwidrige Lücke auf, die durch analoge Anwendung dieser
Bestimmung auf den Anspruch nach § 789 ABGB zu schließen ist
(RIS-Justiz RS0134241).</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385504">
    <w:multiLevelType w:val="hybridMultilevel"/>
    <w:lvl w:ilvl="0" w:tplc="31650497">
      <w:start w:val="1"/>
      <w:numFmt w:val="decimal"/>
      <w:lvlText w:val="%1."/>
      <w:lvlJc w:val="left"/>
      <w:pPr>
        <w:ind w:left="720" w:hanging="360"/>
      </w:pPr>
    </w:lvl>
    <w:lvl w:ilvl="1" w:tplc="31650497" w:tentative="1">
      <w:start w:val="1"/>
      <w:numFmt w:val="lowerLetter"/>
      <w:lvlText w:val="%2."/>
      <w:lvlJc w:val="left"/>
      <w:pPr>
        <w:ind w:left="1440" w:hanging="360"/>
      </w:pPr>
    </w:lvl>
    <w:lvl w:ilvl="2" w:tplc="31650497" w:tentative="1">
      <w:start w:val="1"/>
      <w:numFmt w:val="lowerRoman"/>
      <w:lvlText w:val="%3."/>
      <w:lvlJc w:val="right"/>
      <w:pPr>
        <w:ind w:left="2160" w:hanging="180"/>
      </w:pPr>
    </w:lvl>
    <w:lvl w:ilvl="3" w:tplc="31650497" w:tentative="1">
      <w:start w:val="1"/>
      <w:numFmt w:val="decimal"/>
      <w:lvlText w:val="%4."/>
      <w:lvlJc w:val="left"/>
      <w:pPr>
        <w:ind w:left="2880" w:hanging="360"/>
      </w:pPr>
    </w:lvl>
    <w:lvl w:ilvl="4" w:tplc="31650497" w:tentative="1">
      <w:start w:val="1"/>
      <w:numFmt w:val="lowerLetter"/>
      <w:lvlText w:val="%5."/>
      <w:lvlJc w:val="left"/>
      <w:pPr>
        <w:ind w:left="3600" w:hanging="360"/>
      </w:pPr>
    </w:lvl>
    <w:lvl w:ilvl="5" w:tplc="31650497" w:tentative="1">
      <w:start w:val="1"/>
      <w:numFmt w:val="lowerRoman"/>
      <w:lvlText w:val="%6."/>
      <w:lvlJc w:val="right"/>
      <w:pPr>
        <w:ind w:left="4320" w:hanging="180"/>
      </w:pPr>
    </w:lvl>
    <w:lvl w:ilvl="6" w:tplc="31650497" w:tentative="1">
      <w:start w:val="1"/>
      <w:numFmt w:val="decimal"/>
      <w:lvlText w:val="%7."/>
      <w:lvlJc w:val="left"/>
      <w:pPr>
        <w:ind w:left="5040" w:hanging="360"/>
      </w:pPr>
    </w:lvl>
    <w:lvl w:ilvl="7" w:tplc="31650497" w:tentative="1">
      <w:start w:val="1"/>
      <w:numFmt w:val="lowerLetter"/>
      <w:lvlText w:val="%8."/>
      <w:lvlJc w:val="left"/>
      <w:pPr>
        <w:ind w:left="5760" w:hanging="360"/>
      </w:pPr>
    </w:lvl>
    <w:lvl w:ilvl="8" w:tplc="31650497" w:tentative="1">
      <w:start w:val="1"/>
      <w:numFmt w:val="lowerRoman"/>
      <w:lvlText w:val="%9."/>
      <w:lvlJc w:val="right"/>
      <w:pPr>
        <w:ind w:left="6480" w:hanging="180"/>
      </w:pPr>
    </w:lvl>
  </w:abstractNum>
  <w:abstractNum w:abstractNumId="41385503">
    <w:multiLevelType w:val="hybridMultilevel"/>
    <w:lvl w:ilvl="0" w:tplc="981887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385503">
    <w:abstractNumId w:val="41385503"/>
  </w:num>
  <w:num w:numId="41385504">
    <w:abstractNumId w:val="4138550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966437320" Type="http://schemas.openxmlformats.org/officeDocument/2006/relationships/numbering" Target="numbering.xml"/><Relationship Id="rId280042998" Type="http://schemas.openxmlformats.org/officeDocument/2006/relationships/comments" Target="comments.xml"/><Relationship Id="rId17276ac2a2d700387" Type="http://schemas.openxmlformats.org/officeDocument/2006/relationships/hyperlink" Target="http://www.statistik.a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